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3093F3" w14:textId="77777777" w:rsidR="00256EA9" w:rsidRPr="006566E0" w:rsidRDefault="00237E63">
      <w:pPr>
        <w:jc w:val="left"/>
        <w:rPr>
          <w:rFonts w:ascii="Times New Roman" w:hAnsi="Times New Roman" w:cs="Times New Roman"/>
          <w:b/>
          <w:bCs/>
          <w:sz w:val="32"/>
          <w:szCs w:val="32"/>
        </w:rPr>
      </w:pPr>
      <w:r w:rsidRPr="006566E0">
        <w:rPr>
          <w:rFonts w:ascii="Times New Roman" w:hAnsi="Times New Roman" w:cs="Times New Roman" w:hint="eastAsia"/>
          <w:b/>
          <w:bCs/>
          <w:sz w:val="32"/>
          <w:szCs w:val="32"/>
        </w:rPr>
        <w:t>Supplementary file</w:t>
      </w:r>
    </w:p>
    <w:p w14:paraId="40A9452D" w14:textId="77777777" w:rsidR="00256EA9" w:rsidRPr="006566E0" w:rsidRDefault="00237E63">
      <w:pPr>
        <w:jc w:val="center"/>
        <w:rPr>
          <w:rFonts w:ascii="Times New Roman" w:hAnsi="Times New Roman" w:cs="Times New Roman"/>
          <w:b/>
          <w:bCs/>
          <w:sz w:val="32"/>
          <w:szCs w:val="32"/>
        </w:rPr>
      </w:pPr>
      <w:r w:rsidRPr="006566E0">
        <w:rPr>
          <w:rFonts w:ascii="Times New Roman" w:hAnsi="Times New Roman" w:cs="Times New Roman"/>
          <w:b/>
          <w:bCs/>
          <w:sz w:val="32"/>
          <w:szCs w:val="32"/>
        </w:rPr>
        <w:t>Clinical Study Protocol</w:t>
      </w:r>
    </w:p>
    <w:p w14:paraId="05DB088C" w14:textId="77777777" w:rsidR="00256EA9" w:rsidRPr="006566E0" w:rsidRDefault="00237E63">
      <w:pPr>
        <w:jc w:val="center"/>
        <w:rPr>
          <w:rFonts w:ascii="Times New Roman" w:hAnsi="Times New Roman" w:cs="Times New Roman"/>
          <w:sz w:val="22"/>
          <w:szCs w:val="22"/>
        </w:rPr>
      </w:pPr>
      <w:r w:rsidRPr="006566E0">
        <w:rPr>
          <w:rFonts w:ascii="Times New Roman" w:hAnsi="Times New Roman" w:cs="Times New Roman"/>
          <w:sz w:val="22"/>
          <w:szCs w:val="22"/>
        </w:rPr>
        <w:t>(Version No.: 2.0; Version Date: 05 September 2024)</w:t>
      </w:r>
    </w:p>
    <w:p w14:paraId="5F5C9704" w14:textId="77777777" w:rsidR="00256EA9" w:rsidRPr="006566E0" w:rsidRDefault="00256EA9">
      <w:pPr>
        <w:rPr>
          <w:rFonts w:ascii="Times New Roman" w:hAnsi="Times New Roman" w:cs="Times New Roman"/>
          <w:sz w:val="22"/>
          <w:szCs w:val="22"/>
        </w:rPr>
      </w:pPr>
    </w:p>
    <w:p w14:paraId="58600676" w14:textId="77777777" w:rsidR="00256EA9" w:rsidRPr="006566E0" w:rsidRDefault="00237E63">
      <w:pPr>
        <w:rPr>
          <w:rFonts w:ascii="Times New Roman" w:hAnsi="Times New Roman" w:cs="Times New Roman"/>
          <w:b/>
          <w:bCs/>
          <w:sz w:val="28"/>
          <w:szCs w:val="28"/>
        </w:rPr>
      </w:pPr>
      <w:r w:rsidRPr="006566E0">
        <w:rPr>
          <w:rFonts w:ascii="Times New Roman" w:hAnsi="Times New Roman" w:cs="Times New Roman"/>
          <w:b/>
          <w:bCs/>
          <w:sz w:val="28"/>
          <w:szCs w:val="28"/>
        </w:rPr>
        <w:t xml:space="preserve">Title: </w:t>
      </w:r>
      <w:r w:rsidRPr="006566E0">
        <w:rPr>
          <w:rFonts w:ascii="Times New Roman" w:hAnsi="Times New Roman" w:cs="Times New Roman"/>
          <w:sz w:val="28"/>
          <w:szCs w:val="28"/>
        </w:rPr>
        <w:t>A Phase I Clinical Study of Cord Blood-Derived CAR-NK Cells Targeting Claudin18.2 in the Treatment of Advanced Gastric Cancer and Advanced Pancreatic Cancer</w:t>
      </w:r>
    </w:p>
    <w:p w14:paraId="0DE87D8E" w14:textId="77777777" w:rsidR="00256EA9" w:rsidRPr="006566E0" w:rsidRDefault="00256EA9">
      <w:pPr>
        <w:rPr>
          <w:rFonts w:ascii="Times New Roman" w:hAnsi="Times New Roman" w:cs="Times New Roman"/>
          <w:b/>
          <w:bCs/>
          <w:sz w:val="28"/>
          <w:szCs w:val="28"/>
        </w:rPr>
      </w:pPr>
    </w:p>
    <w:p w14:paraId="63928354" w14:textId="77777777" w:rsidR="00256EA9" w:rsidRPr="006566E0" w:rsidRDefault="00237E63">
      <w:pPr>
        <w:rPr>
          <w:rFonts w:ascii="Times New Roman" w:hAnsi="Times New Roman" w:cs="Times New Roman"/>
          <w:sz w:val="28"/>
          <w:szCs w:val="28"/>
        </w:rPr>
      </w:pPr>
      <w:r w:rsidRPr="006566E0">
        <w:rPr>
          <w:rFonts w:ascii="Times New Roman" w:hAnsi="Times New Roman" w:cs="Times New Roman"/>
          <w:b/>
          <w:bCs/>
          <w:sz w:val="28"/>
          <w:szCs w:val="28"/>
        </w:rPr>
        <w:t>Sponsor:</w:t>
      </w:r>
      <w:r w:rsidRPr="006566E0">
        <w:rPr>
          <w:rFonts w:ascii="Times New Roman" w:hAnsi="Times New Roman" w:cs="Times New Roman"/>
          <w:sz w:val="28"/>
          <w:szCs w:val="28"/>
        </w:rPr>
        <w:t xml:space="preserve"> Zhejiang Provincial People’s Hospital</w:t>
      </w:r>
    </w:p>
    <w:p w14:paraId="0CCDF0EB" w14:textId="77777777" w:rsidR="00256EA9" w:rsidRPr="006566E0" w:rsidRDefault="00256EA9">
      <w:pPr>
        <w:rPr>
          <w:rFonts w:ascii="Times New Roman" w:hAnsi="Times New Roman" w:cs="Times New Roman"/>
          <w:b/>
          <w:bCs/>
          <w:sz w:val="28"/>
          <w:szCs w:val="28"/>
        </w:rPr>
      </w:pPr>
    </w:p>
    <w:p w14:paraId="4AF96323" w14:textId="77777777" w:rsidR="00256EA9" w:rsidRPr="006566E0" w:rsidRDefault="00237E63">
      <w:pPr>
        <w:rPr>
          <w:rFonts w:ascii="Times New Roman" w:hAnsi="Times New Roman" w:cs="Times New Roman"/>
          <w:sz w:val="28"/>
          <w:szCs w:val="28"/>
        </w:rPr>
      </w:pPr>
      <w:r w:rsidRPr="006566E0">
        <w:rPr>
          <w:rFonts w:ascii="Times New Roman" w:hAnsi="Times New Roman" w:cs="Times New Roman"/>
          <w:b/>
          <w:bCs/>
          <w:sz w:val="28"/>
          <w:szCs w:val="28"/>
        </w:rPr>
        <w:t xml:space="preserve">Department: </w:t>
      </w:r>
      <w:r w:rsidRPr="006566E0">
        <w:rPr>
          <w:rFonts w:ascii="Times New Roman" w:hAnsi="Times New Roman" w:cs="Times New Roman"/>
          <w:sz w:val="28"/>
          <w:szCs w:val="28"/>
        </w:rPr>
        <w:t>Department of Medical Oncology</w:t>
      </w:r>
    </w:p>
    <w:p w14:paraId="7194904E" w14:textId="77777777" w:rsidR="00256EA9" w:rsidRPr="006566E0" w:rsidRDefault="00256EA9">
      <w:pPr>
        <w:rPr>
          <w:rFonts w:ascii="Times New Roman" w:hAnsi="Times New Roman" w:cs="Times New Roman"/>
          <w:b/>
          <w:bCs/>
          <w:sz w:val="28"/>
          <w:szCs w:val="28"/>
        </w:rPr>
      </w:pPr>
    </w:p>
    <w:p w14:paraId="3707A7D2" w14:textId="77777777" w:rsidR="00256EA9" w:rsidRPr="006566E0" w:rsidRDefault="00237E63">
      <w:pPr>
        <w:rPr>
          <w:rFonts w:ascii="Times New Roman" w:hAnsi="Times New Roman" w:cs="Times New Roman"/>
          <w:sz w:val="28"/>
          <w:szCs w:val="28"/>
        </w:rPr>
      </w:pPr>
      <w:r w:rsidRPr="006566E0">
        <w:rPr>
          <w:rFonts w:ascii="Times New Roman" w:hAnsi="Times New Roman" w:cs="Times New Roman"/>
          <w:b/>
          <w:bCs/>
          <w:sz w:val="28"/>
          <w:szCs w:val="28"/>
        </w:rPr>
        <w:t xml:space="preserve">Principal Investigator: </w:t>
      </w:r>
      <w:r w:rsidRPr="006566E0">
        <w:rPr>
          <w:rFonts w:ascii="Times New Roman" w:hAnsi="Times New Roman" w:cs="Times New Roman"/>
          <w:sz w:val="28"/>
          <w:szCs w:val="28"/>
        </w:rPr>
        <w:t>Liu Yang</w:t>
      </w:r>
    </w:p>
    <w:p w14:paraId="2DC3F767" w14:textId="77777777" w:rsidR="00256EA9" w:rsidRPr="006566E0" w:rsidRDefault="00256EA9">
      <w:pPr>
        <w:rPr>
          <w:rFonts w:ascii="Times New Roman" w:hAnsi="Times New Roman" w:cs="Times New Roman"/>
          <w:b/>
          <w:bCs/>
          <w:sz w:val="28"/>
          <w:szCs w:val="28"/>
        </w:rPr>
      </w:pPr>
    </w:p>
    <w:p w14:paraId="3F798E17" w14:textId="77777777" w:rsidR="00256EA9" w:rsidRPr="006566E0" w:rsidRDefault="00237E63">
      <w:pPr>
        <w:rPr>
          <w:rFonts w:ascii="Times New Roman" w:hAnsi="Times New Roman" w:cs="Times New Roman"/>
          <w:b/>
          <w:bCs/>
          <w:sz w:val="28"/>
          <w:szCs w:val="28"/>
        </w:rPr>
      </w:pPr>
      <w:r w:rsidRPr="006566E0">
        <w:rPr>
          <w:rFonts w:ascii="Times New Roman" w:hAnsi="Times New Roman" w:cs="Times New Roman"/>
          <w:b/>
          <w:bCs/>
          <w:sz w:val="28"/>
          <w:szCs w:val="28"/>
        </w:rPr>
        <w:t xml:space="preserve">Participating Institutions: </w:t>
      </w:r>
      <w:r w:rsidRPr="006566E0">
        <w:rPr>
          <w:rFonts w:ascii="Times New Roman" w:hAnsi="Times New Roman" w:cs="Times New Roman"/>
          <w:sz w:val="28"/>
          <w:szCs w:val="28"/>
        </w:rPr>
        <w:t xml:space="preserve">The Second Affiliated Hospital, Zhejiang University School of Medicine; Hangzhou </w:t>
      </w:r>
      <w:proofErr w:type="spellStart"/>
      <w:r w:rsidRPr="006566E0">
        <w:rPr>
          <w:rFonts w:ascii="Times New Roman" w:hAnsi="Times New Roman" w:cs="Times New Roman"/>
          <w:sz w:val="28"/>
          <w:szCs w:val="28"/>
        </w:rPr>
        <w:t>Ronggu</w:t>
      </w:r>
      <w:proofErr w:type="spellEnd"/>
      <w:r w:rsidRPr="006566E0">
        <w:rPr>
          <w:rFonts w:ascii="Times New Roman" w:hAnsi="Times New Roman" w:cs="Times New Roman"/>
          <w:sz w:val="28"/>
          <w:szCs w:val="28"/>
        </w:rPr>
        <w:t xml:space="preserve"> Biotechnology Co., Ltd.</w:t>
      </w:r>
    </w:p>
    <w:p w14:paraId="744CFE9B" w14:textId="77777777" w:rsidR="00256EA9" w:rsidRPr="006566E0" w:rsidRDefault="00256EA9">
      <w:pPr>
        <w:rPr>
          <w:rFonts w:ascii="Times New Roman" w:hAnsi="Times New Roman" w:cs="Times New Roman"/>
          <w:sz w:val="22"/>
          <w:szCs w:val="22"/>
        </w:rPr>
      </w:pPr>
    </w:p>
    <w:p w14:paraId="0D2D33CB" w14:textId="77777777" w:rsidR="00256EA9" w:rsidRPr="006566E0" w:rsidRDefault="00256EA9">
      <w:pPr>
        <w:rPr>
          <w:rFonts w:ascii="Times New Roman" w:hAnsi="Times New Roman" w:cs="Times New Roman"/>
          <w:sz w:val="22"/>
          <w:szCs w:val="22"/>
        </w:rPr>
      </w:pPr>
    </w:p>
    <w:p w14:paraId="66D68B1D" w14:textId="77777777" w:rsidR="00256EA9" w:rsidRPr="006566E0" w:rsidRDefault="00256EA9">
      <w:pPr>
        <w:rPr>
          <w:rFonts w:ascii="Times New Roman" w:hAnsi="Times New Roman" w:cs="Times New Roman"/>
          <w:sz w:val="22"/>
          <w:szCs w:val="22"/>
        </w:rPr>
      </w:pPr>
    </w:p>
    <w:p w14:paraId="5C128660" w14:textId="77777777" w:rsidR="00256EA9" w:rsidRPr="006566E0" w:rsidRDefault="00256EA9">
      <w:pPr>
        <w:rPr>
          <w:rFonts w:ascii="Times New Roman" w:hAnsi="Times New Roman" w:cs="Times New Roman"/>
          <w:sz w:val="22"/>
          <w:szCs w:val="22"/>
        </w:rPr>
      </w:pPr>
    </w:p>
    <w:p w14:paraId="13DDD415" w14:textId="77777777" w:rsidR="00256EA9" w:rsidRPr="006566E0" w:rsidRDefault="00256EA9">
      <w:pPr>
        <w:rPr>
          <w:rFonts w:ascii="Times New Roman" w:hAnsi="Times New Roman" w:cs="Times New Roman"/>
          <w:sz w:val="22"/>
          <w:szCs w:val="22"/>
        </w:rPr>
      </w:pPr>
    </w:p>
    <w:p w14:paraId="4EBCC9C6" w14:textId="77777777" w:rsidR="00256EA9" w:rsidRPr="006566E0" w:rsidRDefault="00256EA9">
      <w:pPr>
        <w:rPr>
          <w:rFonts w:ascii="Times New Roman" w:hAnsi="Times New Roman" w:cs="Times New Roman"/>
          <w:sz w:val="22"/>
          <w:szCs w:val="22"/>
        </w:rPr>
      </w:pPr>
    </w:p>
    <w:p w14:paraId="0F1D6F6E" w14:textId="77777777" w:rsidR="00256EA9" w:rsidRPr="006566E0" w:rsidRDefault="00256EA9">
      <w:pPr>
        <w:rPr>
          <w:rFonts w:ascii="Times New Roman" w:hAnsi="Times New Roman" w:cs="Times New Roman"/>
          <w:sz w:val="22"/>
          <w:szCs w:val="22"/>
        </w:rPr>
      </w:pPr>
    </w:p>
    <w:p w14:paraId="453FC82A" w14:textId="77777777" w:rsidR="00256EA9" w:rsidRPr="006566E0" w:rsidRDefault="00256EA9">
      <w:pPr>
        <w:rPr>
          <w:rFonts w:ascii="Times New Roman" w:hAnsi="Times New Roman" w:cs="Times New Roman"/>
          <w:sz w:val="22"/>
          <w:szCs w:val="22"/>
        </w:rPr>
      </w:pPr>
    </w:p>
    <w:p w14:paraId="23B4DD2E" w14:textId="77777777" w:rsidR="00256EA9" w:rsidRPr="006566E0" w:rsidRDefault="00256EA9">
      <w:pPr>
        <w:rPr>
          <w:rFonts w:ascii="Times New Roman" w:hAnsi="Times New Roman" w:cs="Times New Roman"/>
          <w:sz w:val="22"/>
          <w:szCs w:val="22"/>
        </w:rPr>
      </w:pPr>
    </w:p>
    <w:p w14:paraId="7C7ACF31" w14:textId="77777777" w:rsidR="00256EA9" w:rsidRPr="006566E0" w:rsidRDefault="00256EA9">
      <w:pPr>
        <w:rPr>
          <w:rFonts w:ascii="Times New Roman" w:hAnsi="Times New Roman" w:cs="Times New Roman"/>
          <w:sz w:val="22"/>
          <w:szCs w:val="22"/>
        </w:rPr>
      </w:pPr>
    </w:p>
    <w:p w14:paraId="0E69B3F3" w14:textId="77777777" w:rsidR="00256EA9" w:rsidRPr="006566E0" w:rsidRDefault="00256EA9">
      <w:pPr>
        <w:rPr>
          <w:rFonts w:ascii="Times New Roman" w:hAnsi="Times New Roman" w:cs="Times New Roman"/>
          <w:sz w:val="22"/>
          <w:szCs w:val="22"/>
        </w:rPr>
      </w:pPr>
    </w:p>
    <w:p w14:paraId="24BE5229" w14:textId="77777777" w:rsidR="00256EA9" w:rsidRPr="006566E0" w:rsidRDefault="00256EA9">
      <w:pPr>
        <w:rPr>
          <w:rFonts w:ascii="Times New Roman" w:hAnsi="Times New Roman" w:cs="Times New Roman"/>
          <w:sz w:val="22"/>
          <w:szCs w:val="22"/>
        </w:rPr>
      </w:pPr>
    </w:p>
    <w:p w14:paraId="1C69CBAE" w14:textId="77777777" w:rsidR="00256EA9" w:rsidRPr="006566E0" w:rsidRDefault="00256EA9">
      <w:pPr>
        <w:rPr>
          <w:rFonts w:ascii="Times New Roman" w:hAnsi="Times New Roman" w:cs="Times New Roman"/>
          <w:sz w:val="22"/>
          <w:szCs w:val="22"/>
        </w:rPr>
      </w:pPr>
    </w:p>
    <w:p w14:paraId="27A473D3" w14:textId="77777777" w:rsidR="00256EA9" w:rsidRPr="006566E0" w:rsidRDefault="00256EA9">
      <w:pPr>
        <w:rPr>
          <w:rFonts w:ascii="Times New Roman" w:hAnsi="Times New Roman" w:cs="Times New Roman"/>
          <w:sz w:val="22"/>
          <w:szCs w:val="22"/>
        </w:rPr>
      </w:pPr>
    </w:p>
    <w:p w14:paraId="7F68CC0C" w14:textId="77777777" w:rsidR="00256EA9" w:rsidRPr="006566E0" w:rsidRDefault="00237E63">
      <w:pPr>
        <w:jc w:val="center"/>
        <w:rPr>
          <w:rFonts w:ascii="Times New Roman" w:hAnsi="Times New Roman" w:cs="Times New Roman"/>
          <w:b/>
          <w:bCs/>
          <w:sz w:val="32"/>
          <w:szCs w:val="32"/>
        </w:rPr>
      </w:pPr>
      <w:r w:rsidRPr="006566E0">
        <w:rPr>
          <w:rFonts w:ascii="Times New Roman" w:hAnsi="Times New Roman" w:cs="Times New Roman"/>
          <w:b/>
          <w:bCs/>
          <w:sz w:val="32"/>
          <w:szCs w:val="32"/>
        </w:rPr>
        <w:lastRenderedPageBreak/>
        <w:t>Investigator's Statement and Protocol Signature Page</w:t>
      </w:r>
    </w:p>
    <w:p w14:paraId="7EA474AB" w14:textId="77777777" w:rsidR="00256EA9" w:rsidRPr="006566E0" w:rsidRDefault="00256EA9">
      <w:pPr>
        <w:rPr>
          <w:rFonts w:ascii="Times New Roman" w:hAnsi="Times New Roman" w:cs="Times New Roman"/>
          <w:sz w:val="22"/>
          <w:szCs w:val="22"/>
        </w:rPr>
      </w:pPr>
    </w:p>
    <w:p w14:paraId="605109E8" w14:textId="77777777" w:rsidR="00256EA9" w:rsidRPr="006566E0" w:rsidRDefault="00237E63">
      <w:pPr>
        <w:rPr>
          <w:rFonts w:ascii="Times New Roman" w:hAnsi="Times New Roman" w:cs="Times New Roman"/>
          <w:sz w:val="22"/>
          <w:szCs w:val="22"/>
        </w:rPr>
      </w:pPr>
      <w:r w:rsidRPr="006566E0">
        <w:rPr>
          <w:rFonts w:ascii="Times New Roman" w:hAnsi="Times New Roman" w:cs="Times New Roman"/>
          <w:sz w:val="22"/>
          <w:szCs w:val="22"/>
        </w:rPr>
        <w:t>As the Principal Investigator (PI) of this research project, I will adhere to the ethical principles outlined in the National Health Commission's "Ethical Review Measures for Biomedical Research Involving Humans" (2016), the WMA "Declaration of Helsinki" (2013), the CIOMS "International Ethical Guidelines for Biomedical Research Involving Human Subjects" (2002), and Good Clinical Practice (GCP). The study will be conducted under the guidance of GCP using the protocol approved by the Ethics Committee, ensuring scientific rigor and protecting the health and rights of participants.</w:t>
      </w:r>
    </w:p>
    <w:p w14:paraId="3C72D0DD" w14:textId="77777777" w:rsidR="00256EA9" w:rsidRPr="006566E0" w:rsidRDefault="00256EA9">
      <w:pPr>
        <w:rPr>
          <w:rFonts w:ascii="Times New Roman" w:hAnsi="Times New Roman" w:cs="Times New Roman"/>
          <w:sz w:val="22"/>
          <w:szCs w:val="22"/>
        </w:rPr>
      </w:pPr>
    </w:p>
    <w:p w14:paraId="4B56764E" w14:textId="77777777" w:rsidR="00256EA9" w:rsidRPr="006566E0" w:rsidRDefault="00237E63">
      <w:pPr>
        <w:jc w:val="center"/>
        <w:rPr>
          <w:rFonts w:ascii="Times New Roman" w:hAnsi="Times New Roman" w:cs="Times New Roman"/>
          <w:sz w:val="22"/>
          <w:szCs w:val="22"/>
        </w:rPr>
      </w:pPr>
      <w:r w:rsidRPr="006566E0">
        <w:rPr>
          <w:rFonts w:ascii="Times New Roman" w:hAnsi="Times New Roman" w:cs="Times New Roman" w:hint="eastAsia"/>
          <w:sz w:val="22"/>
          <w:szCs w:val="22"/>
        </w:rPr>
        <w:t xml:space="preserve">                                     </w:t>
      </w:r>
      <w:r w:rsidRPr="006566E0">
        <w:rPr>
          <w:rFonts w:ascii="Times New Roman" w:hAnsi="Times New Roman" w:cs="Times New Roman"/>
          <w:sz w:val="22"/>
          <w:szCs w:val="22"/>
        </w:rPr>
        <w:t xml:space="preserve">Name: </w:t>
      </w:r>
      <w:r w:rsidRPr="006566E0">
        <w:rPr>
          <w:rFonts w:ascii="Times New Roman" w:hAnsi="Times New Roman" w:cs="Times New Roman" w:hint="eastAsia"/>
          <w:sz w:val="22"/>
          <w:szCs w:val="22"/>
        </w:rPr>
        <w:t xml:space="preserve"> </w:t>
      </w:r>
    </w:p>
    <w:p w14:paraId="23FAF7E6" w14:textId="77777777" w:rsidR="00256EA9" w:rsidRPr="006566E0" w:rsidRDefault="00237E63">
      <w:pPr>
        <w:jc w:val="center"/>
        <w:rPr>
          <w:rFonts w:ascii="Times New Roman" w:hAnsi="Times New Roman" w:cs="Times New Roman"/>
          <w:sz w:val="22"/>
          <w:szCs w:val="22"/>
        </w:rPr>
      </w:pPr>
      <w:r w:rsidRPr="006566E0">
        <w:rPr>
          <w:rFonts w:ascii="Times New Roman" w:hAnsi="Times New Roman" w:cs="Times New Roman" w:hint="eastAsia"/>
          <w:sz w:val="22"/>
          <w:szCs w:val="22"/>
        </w:rPr>
        <w:t xml:space="preserve">                                       </w:t>
      </w:r>
      <w:r w:rsidRPr="006566E0">
        <w:rPr>
          <w:rFonts w:ascii="Times New Roman" w:hAnsi="Times New Roman" w:cs="Times New Roman"/>
          <w:sz w:val="22"/>
          <w:szCs w:val="22"/>
        </w:rPr>
        <w:t xml:space="preserve">Signature: </w:t>
      </w:r>
      <w:r w:rsidRPr="006566E0">
        <w:rPr>
          <w:rFonts w:ascii="Times New Roman" w:hAnsi="Times New Roman" w:cs="Times New Roman" w:hint="eastAsia"/>
          <w:sz w:val="22"/>
          <w:szCs w:val="22"/>
        </w:rPr>
        <w:t xml:space="preserve"> </w:t>
      </w:r>
    </w:p>
    <w:p w14:paraId="511CE4CB" w14:textId="77777777" w:rsidR="00256EA9" w:rsidRPr="006566E0" w:rsidRDefault="00237E63">
      <w:pPr>
        <w:jc w:val="center"/>
        <w:rPr>
          <w:rFonts w:ascii="Times New Roman" w:hAnsi="Times New Roman" w:cs="Times New Roman"/>
          <w:sz w:val="22"/>
          <w:szCs w:val="22"/>
        </w:rPr>
      </w:pPr>
      <w:r w:rsidRPr="006566E0">
        <w:rPr>
          <w:rFonts w:ascii="Times New Roman" w:hAnsi="Times New Roman" w:cs="Times New Roman" w:hint="eastAsia"/>
          <w:sz w:val="22"/>
          <w:szCs w:val="22"/>
        </w:rPr>
        <w:t xml:space="preserve">                                   </w:t>
      </w:r>
      <w:r w:rsidRPr="006566E0">
        <w:rPr>
          <w:rFonts w:ascii="Times New Roman" w:hAnsi="Times New Roman" w:cs="Times New Roman"/>
          <w:sz w:val="22"/>
          <w:szCs w:val="22"/>
        </w:rPr>
        <w:t xml:space="preserve">Date: </w:t>
      </w:r>
      <w:r w:rsidRPr="006566E0">
        <w:rPr>
          <w:rFonts w:ascii="Times New Roman" w:hAnsi="Times New Roman" w:cs="Times New Roman" w:hint="eastAsia"/>
          <w:sz w:val="22"/>
          <w:szCs w:val="22"/>
        </w:rPr>
        <w:t xml:space="preserve"> </w:t>
      </w:r>
    </w:p>
    <w:p w14:paraId="00E5EE9E" w14:textId="77777777" w:rsidR="00256EA9" w:rsidRPr="006566E0" w:rsidRDefault="00256EA9">
      <w:pPr>
        <w:rPr>
          <w:rFonts w:ascii="Times New Roman" w:hAnsi="Times New Roman" w:cs="Times New Roman"/>
          <w:sz w:val="22"/>
          <w:szCs w:val="22"/>
        </w:rPr>
      </w:pPr>
    </w:p>
    <w:p w14:paraId="5301B4D2" w14:textId="77777777" w:rsidR="00256EA9" w:rsidRPr="006566E0" w:rsidRDefault="00256EA9">
      <w:pPr>
        <w:rPr>
          <w:rFonts w:ascii="Times New Roman" w:hAnsi="Times New Roman" w:cs="Times New Roman"/>
          <w:sz w:val="22"/>
          <w:szCs w:val="22"/>
        </w:rPr>
      </w:pPr>
    </w:p>
    <w:p w14:paraId="4F1DBC9E" w14:textId="77777777" w:rsidR="00256EA9" w:rsidRPr="006566E0" w:rsidRDefault="00256EA9">
      <w:pPr>
        <w:rPr>
          <w:rFonts w:ascii="Times New Roman" w:hAnsi="Times New Roman" w:cs="Times New Roman"/>
          <w:sz w:val="22"/>
          <w:szCs w:val="22"/>
        </w:rPr>
      </w:pPr>
    </w:p>
    <w:p w14:paraId="62BDC8BC" w14:textId="77777777" w:rsidR="00256EA9" w:rsidRPr="006566E0" w:rsidRDefault="00256EA9">
      <w:pPr>
        <w:rPr>
          <w:rFonts w:ascii="Times New Roman" w:hAnsi="Times New Roman" w:cs="Times New Roman"/>
          <w:sz w:val="22"/>
          <w:szCs w:val="22"/>
        </w:rPr>
      </w:pPr>
    </w:p>
    <w:p w14:paraId="1EF3F446" w14:textId="77777777" w:rsidR="00256EA9" w:rsidRPr="006566E0" w:rsidRDefault="00256EA9">
      <w:pPr>
        <w:rPr>
          <w:rFonts w:ascii="Times New Roman" w:hAnsi="Times New Roman" w:cs="Times New Roman"/>
          <w:sz w:val="22"/>
          <w:szCs w:val="22"/>
        </w:rPr>
      </w:pPr>
    </w:p>
    <w:p w14:paraId="27033D09" w14:textId="77777777" w:rsidR="00256EA9" w:rsidRPr="006566E0" w:rsidRDefault="00256EA9">
      <w:pPr>
        <w:rPr>
          <w:rFonts w:ascii="Times New Roman" w:hAnsi="Times New Roman" w:cs="Times New Roman"/>
          <w:sz w:val="22"/>
          <w:szCs w:val="22"/>
        </w:rPr>
      </w:pPr>
    </w:p>
    <w:p w14:paraId="7EFAD656" w14:textId="77777777" w:rsidR="00256EA9" w:rsidRPr="006566E0" w:rsidRDefault="00256EA9">
      <w:pPr>
        <w:rPr>
          <w:rFonts w:ascii="Times New Roman" w:hAnsi="Times New Roman" w:cs="Times New Roman"/>
          <w:sz w:val="22"/>
          <w:szCs w:val="22"/>
        </w:rPr>
      </w:pPr>
    </w:p>
    <w:p w14:paraId="2D66B8FA" w14:textId="77777777" w:rsidR="00256EA9" w:rsidRPr="006566E0" w:rsidRDefault="00256EA9">
      <w:pPr>
        <w:rPr>
          <w:rFonts w:ascii="Times New Roman" w:hAnsi="Times New Roman" w:cs="Times New Roman"/>
          <w:sz w:val="22"/>
          <w:szCs w:val="22"/>
        </w:rPr>
      </w:pPr>
    </w:p>
    <w:p w14:paraId="4694A23D" w14:textId="77777777" w:rsidR="00256EA9" w:rsidRPr="006566E0" w:rsidRDefault="00256EA9">
      <w:pPr>
        <w:rPr>
          <w:rFonts w:ascii="Times New Roman" w:hAnsi="Times New Roman" w:cs="Times New Roman"/>
          <w:sz w:val="22"/>
          <w:szCs w:val="22"/>
        </w:rPr>
      </w:pPr>
    </w:p>
    <w:p w14:paraId="5484F900" w14:textId="77777777" w:rsidR="00256EA9" w:rsidRPr="006566E0" w:rsidRDefault="00256EA9">
      <w:pPr>
        <w:rPr>
          <w:rFonts w:ascii="Times New Roman" w:hAnsi="Times New Roman" w:cs="Times New Roman"/>
          <w:sz w:val="22"/>
          <w:szCs w:val="22"/>
        </w:rPr>
      </w:pPr>
    </w:p>
    <w:p w14:paraId="16DF2671" w14:textId="77777777" w:rsidR="00256EA9" w:rsidRPr="006566E0" w:rsidRDefault="00256EA9">
      <w:pPr>
        <w:rPr>
          <w:rFonts w:ascii="Times New Roman" w:hAnsi="Times New Roman" w:cs="Times New Roman"/>
          <w:sz w:val="22"/>
          <w:szCs w:val="22"/>
        </w:rPr>
      </w:pPr>
    </w:p>
    <w:p w14:paraId="0883B945" w14:textId="77777777" w:rsidR="00256EA9" w:rsidRPr="006566E0" w:rsidRDefault="00256EA9">
      <w:pPr>
        <w:rPr>
          <w:rFonts w:ascii="Times New Roman" w:hAnsi="Times New Roman" w:cs="Times New Roman"/>
          <w:sz w:val="22"/>
          <w:szCs w:val="22"/>
        </w:rPr>
      </w:pPr>
    </w:p>
    <w:p w14:paraId="09732237" w14:textId="77777777" w:rsidR="00256EA9" w:rsidRPr="006566E0" w:rsidRDefault="00256EA9">
      <w:pPr>
        <w:rPr>
          <w:rFonts w:ascii="Times New Roman" w:hAnsi="Times New Roman" w:cs="Times New Roman"/>
          <w:sz w:val="22"/>
          <w:szCs w:val="22"/>
        </w:rPr>
      </w:pPr>
    </w:p>
    <w:p w14:paraId="664D45EB" w14:textId="77777777" w:rsidR="00256EA9" w:rsidRPr="006566E0" w:rsidRDefault="00256EA9">
      <w:pPr>
        <w:rPr>
          <w:rFonts w:ascii="Times New Roman" w:hAnsi="Times New Roman" w:cs="Times New Roman"/>
          <w:sz w:val="22"/>
          <w:szCs w:val="22"/>
        </w:rPr>
      </w:pPr>
    </w:p>
    <w:p w14:paraId="31340073" w14:textId="77777777" w:rsidR="00256EA9" w:rsidRPr="006566E0" w:rsidRDefault="00256EA9">
      <w:pPr>
        <w:rPr>
          <w:rFonts w:ascii="Times New Roman" w:hAnsi="Times New Roman" w:cs="Times New Roman"/>
          <w:sz w:val="22"/>
          <w:szCs w:val="22"/>
        </w:rPr>
      </w:pPr>
    </w:p>
    <w:p w14:paraId="43C48C29" w14:textId="77777777" w:rsidR="00256EA9" w:rsidRPr="006566E0" w:rsidRDefault="00256EA9">
      <w:pPr>
        <w:rPr>
          <w:rFonts w:ascii="Times New Roman" w:hAnsi="Times New Roman" w:cs="Times New Roman"/>
          <w:sz w:val="22"/>
          <w:szCs w:val="22"/>
        </w:rPr>
      </w:pPr>
    </w:p>
    <w:p w14:paraId="4F3C554E" w14:textId="77777777" w:rsidR="00256EA9" w:rsidRPr="006566E0" w:rsidRDefault="00256EA9">
      <w:pPr>
        <w:rPr>
          <w:rFonts w:ascii="Times New Roman" w:hAnsi="Times New Roman" w:cs="Times New Roman"/>
          <w:sz w:val="22"/>
          <w:szCs w:val="22"/>
        </w:rPr>
      </w:pPr>
    </w:p>
    <w:p w14:paraId="660F3F07" w14:textId="77777777" w:rsidR="00256EA9" w:rsidRPr="006566E0" w:rsidRDefault="00256EA9">
      <w:pPr>
        <w:rPr>
          <w:rFonts w:ascii="Times New Roman" w:hAnsi="Times New Roman" w:cs="Times New Roman"/>
          <w:sz w:val="22"/>
          <w:szCs w:val="22"/>
        </w:rPr>
      </w:pPr>
    </w:p>
    <w:p w14:paraId="397F354C" w14:textId="77777777" w:rsidR="00256EA9" w:rsidRPr="006566E0" w:rsidRDefault="00256EA9">
      <w:pPr>
        <w:rPr>
          <w:rFonts w:ascii="Times New Roman" w:hAnsi="Times New Roman" w:cs="Times New Roman"/>
          <w:sz w:val="22"/>
          <w:szCs w:val="22"/>
        </w:rPr>
      </w:pPr>
    </w:p>
    <w:p w14:paraId="559D907F" w14:textId="77777777" w:rsidR="00256EA9" w:rsidRPr="006566E0" w:rsidRDefault="00256EA9">
      <w:pPr>
        <w:rPr>
          <w:rFonts w:ascii="Times New Roman" w:hAnsi="Times New Roman" w:cs="Times New Roman"/>
          <w:sz w:val="22"/>
          <w:szCs w:val="22"/>
        </w:rPr>
      </w:pPr>
    </w:p>
    <w:p w14:paraId="67AD355E" w14:textId="77777777" w:rsidR="00256EA9" w:rsidRPr="006566E0" w:rsidRDefault="00256EA9">
      <w:pPr>
        <w:rPr>
          <w:rFonts w:ascii="Times New Roman" w:hAnsi="Times New Roman" w:cs="Times New Roman"/>
          <w:sz w:val="22"/>
          <w:szCs w:val="22"/>
        </w:rPr>
      </w:pPr>
    </w:p>
    <w:p w14:paraId="375A0EE0" w14:textId="77777777" w:rsidR="00256EA9" w:rsidRPr="006566E0" w:rsidRDefault="00256EA9">
      <w:pPr>
        <w:rPr>
          <w:rFonts w:ascii="Times New Roman" w:hAnsi="Times New Roman" w:cs="Times New Roman"/>
          <w:sz w:val="22"/>
          <w:szCs w:val="22"/>
        </w:rPr>
      </w:pPr>
    </w:p>
    <w:p w14:paraId="639664CC" w14:textId="77777777" w:rsidR="00256EA9" w:rsidRPr="006566E0" w:rsidRDefault="00256EA9">
      <w:pPr>
        <w:rPr>
          <w:rFonts w:ascii="Times New Roman" w:hAnsi="Times New Roman" w:cs="Times New Roman"/>
          <w:sz w:val="22"/>
          <w:szCs w:val="22"/>
        </w:rPr>
      </w:pPr>
    </w:p>
    <w:p w14:paraId="078EB1A4" w14:textId="77777777" w:rsidR="00256EA9" w:rsidRPr="006566E0" w:rsidRDefault="00256EA9">
      <w:pPr>
        <w:rPr>
          <w:rFonts w:ascii="Times New Roman" w:hAnsi="Times New Roman" w:cs="Times New Roman"/>
          <w:sz w:val="22"/>
          <w:szCs w:val="22"/>
        </w:rPr>
      </w:pPr>
    </w:p>
    <w:p w14:paraId="089DBE7A" w14:textId="77777777" w:rsidR="00256EA9" w:rsidRPr="006566E0" w:rsidRDefault="00256EA9">
      <w:pPr>
        <w:rPr>
          <w:rFonts w:ascii="Times New Roman" w:hAnsi="Times New Roman" w:cs="Times New Roman"/>
          <w:sz w:val="22"/>
          <w:szCs w:val="22"/>
        </w:rPr>
      </w:pPr>
    </w:p>
    <w:p w14:paraId="588AD523" w14:textId="77777777" w:rsidR="00256EA9" w:rsidRPr="006566E0" w:rsidRDefault="00256EA9">
      <w:pPr>
        <w:rPr>
          <w:rFonts w:ascii="Times New Roman" w:hAnsi="Times New Roman" w:cs="Times New Roman"/>
          <w:sz w:val="22"/>
          <w:szCs w:val="22"/>
        </w:rPr>
      </w:pPr>
    </w:p>
    <w:p w14:paraId="2E5715ED" w14:textId="77777777" w:rsidR="00256EA9" w:rsidRPr="006566E0" w:rsidRDefault="00256EA9">
      <w:pPr>
        <w:rPr>
          <w:rFonts w:ascii="Times New Roman" w:hAnsi="Times New Roman" w:cs="Times New Roman"/>
          <w:sz w:val="22"/>
          <w:szCs w:val="22"/>
        </w:rPr>
      </w:pPr>
    </w:p>
    <w:p w14:paraId="42DA978F" w14:textId="77777777" w:rsidR="00256EA9" w:rsidRDefault="00256EA9">
      <w:pPr>
        <w:rPr>
          <w:rFonts w:ascii="Times New Roman" w:hAnsi="Times New Roman" w:cs="Times New Roman"/>
          <w:sz w:val="22"/>
          <w:szCs w:val="22"/>
        </w:rPr>
      </w:pPr>
    </w:p>
    <w:p w14:paraId="23F748B4" w14:textId="77777777" w:rsidR="00D216E7" w:rsidRDefault="00D216E7">
      <w:pPr>
        <w:rPr>
          <w:rFonts w:ascii="Times New Roman" w:hAnsi="Times New Roman" w:cs="Times New Roman"/>
          <w:sz w:val="22"/>
          <w:szCs w:val="22"/>
        </w:rPr>
      </w:pPr>
    </w:p>
    <w:p w14:paraId="670699EA" w14:textId="77777777" w:rsidR="00D216E7" w:rsidRPr="006566E0" w:rsidRDefault="00D216E7">
      <w:pPr>
        <w:rPr>
          <w:rFonts w:ascii="Times New Roman" w:hAnsi="Times New Roman" w:cs="Times New Roman" w:hint="eastAsia"/>
          <w:sz w:val="22"/>
          <w:szCs w:val="22"/>
        </w:rPr>
      </w:pPr>
    </w:p>
    <w:p w14:paraId="4E220002" w14:textId="77777777" w:rsidR="00256EA9" w:rsidRPr="006566E0" w:rsidRDefault="00237E63">
      <w:pPr>
        <w:rPr>
          <w:rFonts w:ascii="Times New Roman" w:hAnsi="Times New Roman" w:cs="Times New Roman"/>
          <w:b/>
          <w:bCs/>
          <w:sz w:val="28"/>
          <w:szCs w:val="28"/>
        </w:rPr>
      </w:pPr>
      <w:r w:rsidRPr="006566E0">
        <w:rPr>
          <w:rFonts w:ascii="Times New Roman" w:hAnsi="Times New Roman" w:cs="Times New Roman"/>
          <w:b/>
          <w:bCs/>
          <w:sz w:val="28"/>
          <w:szCs w:val="28"/>
        </w:rPr>
        <w:lastRenderedPageBreak/>
        <w:t>Protocol Synopsis</w:t>
      </w:r>
    </w:p>
    <w:tbl>
      <w:tblPr>
        <w:tblpPr w:leftFromText="180" w:rightFromText="180" w:vertAnchor="text" w:horzAnchor="page" w:tblpX="1789" w:tblpY="30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967"/>
        <w:gridCol w:w="5329"/>
      </w:tblGrid>
      <w:tr w:rsidR="00256EA9" w:rsidRPr="006566E0" w14:paraId="3AA2334F" w14:textId="77777777" w:rsidTr="0086678B">
        <w:tc>
          <w:tcPr>
            <w:tcW w:w="0" w:type="auto"/>
            <w:shd w:val="clear" w:color="auto" w:fill="FFFFFF"/>
            <w:tcMar>
              <w:top w:w="120" w:type="dxa"/>
              <w:left w:w="0" w:type="dxa"/>
              <w:bottom w:w="120" w:type="dxa"/>
              <w:right w:w="192" w:type="dxa"/>
            </w:tcMar>
            <w:vAlign w:val="center"/>
          </w:tcPr>
          <w:p w14:paraId="554F582A" w14:textId="77777777" w:rsidR="00256EA9" w:rsidRPr="006566E0" w:rsidRDefault="00237E63">
            <w:pPr>
              <w:widowControl/>
              <w:spacing w:line="300" w:lineRule="atLeast"/>
              <w:jc w:val="center"/>
              <w:rPr>
                <w:rFonts w:ascii="Times New Roman" w:eastAsia="Segoe UI" w:hAnsi="Times New Roman" w:cs="Times New Roman"/>
                <w:b/>
                <w:bCs/>
                <w:color w:val="0F1115"/>
                <w:sz w:val="22"/>
                <w:szCs w:val="22"/>
              </w:rPr>
            </w:pPr>
            <w:r w:rsidRPr="006566E0">
              <w:rPr>
                <w:rFonts w:ascii="Times New Roman" w:eastAsia="Segoe UI" w:hAnsi="Times New Roman" w:cs="Times New Roman"/>
                <w:b/>
                <w:bCs/>
                <w:color w:val="0F1115"/>
                <w:kern w:val="0"/>
                <w:sz w:val="22"/>
                <w:szCs w:val="22"/>
                <w:lang w:bidi="ar"/>
              </w:rPr>
              <w:t>Protocol Title</w:t>
            </w:r>
          </w:p>
        </w:tc>
        <w:tc>
          <w:tcPr>
            <w:tcW w:w="0" w:type="auto"/>
            <w:shd w:val="clear" w:color="auto" w:fill="FFFFFF"/>
            <w:tcMar>
              <w:top w:w="120" w:type="dxa"/>
              <w:left w:w="192" w:type="dxa"/>
              <w:bottom w:w="120" w:type="dxa"/>
              <w:right w:w="192" w:type="dxa"/>
            </w:tcMar>
            <w:vAlign w:val="center"/>
          </w:tcPr>
          <w:p w14:paraId="63018A71" w14:textId="77777777" w:rsidR="00256EA9" w:rsidRPr="006566E0" w:rsidRDefault="00237E63">
            <w:pPr>
              <w:widowControl/>
              <w:spacing w:line="300" w:lineRule="atLeast"/>
              <w:jc w:val="left"/>
              <w:rPr>
                <w:rFonts w:ascii="Times New Roman" w:eastAsia="Segoe UI" w:hAnsi="Times New Roman" w:cs="Times New Roman"/>
                <w:color w:val="0F1115"/>
                <w:sz w:val="20"/>
                <w:szCs w:val="20"/>
              </w:rPr>
            </w:pPr>
            <w:r w:rsidRPr="006566E0">
              <w:rPr>
                <w:rFonts w:ascii="Times New Roman" w:hAnsi="Times New Roman" w:cs="Times New Roman"/>
                <w:sz w:val="20"/>
                <w:szCs w:val="20"/>
              </w:rPr>
              <w:t>A Phase I Clinical Study of Cord Blood-Derived CAR-NK Cells Targeting Claudin18.2 in the Treatment of Advanced Gastric Cancer and Advanced Pancreatic Cancer</w:t>
            </w:r>
          </w:p>
        </w:tc>
      </w:tr>
      <w:tr w:rsidR="00256EA9" w:rsidRPr="006566E0" w14:paraId="46192735" w14:textId="77777777" w:rsidTr="0086678B">
        <w:tc>
          <w:tcPr>
            <w:tcW w:w="0" w:type="auto"/>
            <w:shd w:val="clear" w:color="auto" w:fill="FFFFFF"/>
            <w:tcMar>
              <w:top w:w="120" w:type="dxa"/>
              <w:left w:w="0" w:type="dxa"/>
              <w:bottom w:w="120" w:type="dxa"/>
              <w:right w:w="192" w:type="dxa"/>
            </w:tcMar>
            <w:vAlign w:val="center"/>
          </w:tcPr>
          <w:p w14:paraId="4A0A0A9E" w14:textId="77777777" w:rsidR="00256EA9" w:rsidRPr="006566E0" w:rsidRDefault="00237E63">
            <w:pPr>
              <w:widowControl/>
              <w:spacing w:line="300" w:lineRule="atLeast"/>
              <w:jc w:val="center"/>
              <w:rPr>
                <w:rFonts w:ascii="Times New Roman" w:eastAsia="Segoe UI" w:hAnsi="Times New Roman" w:cs="Times New Roman"/>
                <w:b/>
                <w:bCs/>
                <w:color w:val="0F1115"/>
                <w:sz w:val="22"/>
                <w:szCs w:val="22"/>
              </w:rPr>
            </w:pPr>
            <w:r w:rsidRPr="006566E0">
              <w:rPr>
                <w:rStyle w:val="a3"/>
                <w:rFonts w:ascii="Times New Roman" w:eastAsia="Segoe UI" w:hAnsi="Times New Roman" w:cs="Times New Roman"/>
                <w:bCs/>
                <w:color w:val="0F1115"/>
                <w:kern w:val="0"/>
                <w:sz w:val="22"/>
                <w:szCs w:val="22"/>
                <w:lang w:bidi="ar"/>
              </w:rPr>
              <w:t>Version No. / Date</w:t>
            </w:r>
          </w:p>
        </w:tc>
        <w:tc>
          <w:tcPr>
            <w:tcW w:w="0" w:type="auto"/>
            <w:shd w:val="clear" w:color="auto" w:fill="FFFFFF"/>
            <w:tcMar>
              <w:top w:w="120" w:type="dxa"/>
              <w:left w:w="192" w:type="dxa"/>
              <w:bottom w:w="120" w:type="dxa"/>
              <w:right w:w="0" w:type="dxa"/>
            </w:tcMar>
            <w:vAlign w:val="center"/>
          </w:tcPr>
          <w:p w14:paraId="025CF45F" w14:textId="77777777" w:rsidR="00256EA9" w:rsidRPr="006566E0" w:rsidRDefault="00237E63">
            <w:pPr>
              <w:widowControl/>
              <w:spacing w:line="300" w:lineRule="atLeast"/>
              <w:jc w:val="left"/>
              <w:rPr>
                <w:rFonts w:ascii="Times New Roman" w:eastAsia="Segoe UI" w:hAnsi="Times New Roman" w:cs="Times New Roman"/>
                <w:color w:val="0F1115"/>
                <w:sz w:val="20"/>
                <w:szCs w:val="20"/>
              </w:rPr>
            </w:pPr>
            <w:r w:rsidRPr="006566E0">
              <w:rPr>
                <w:rStyle w:val="a3"/>
                <w:rFonts w:ascii="Times New Roman" w:eastAsia="Segoe UI" w:hAnsi="Times New Roman" w:cs="Times New Roman"/>
                <w:b w:val="0"/>
                <w:color w:val="0F1115"/>
                <w:kern w:val="0"/>
                <w:sz w:val="20"/>
                <w:szCs w:val="20"/>
                <w:lang w:bidi="ar"/>
              </w:rPr>
              <w:t>2.0 / 05 September 2024</w:t>
            </w:r>
          </w:p>
        </w:tc>
      </w:tr>
      <w:tr w:rsidR="00256EA9" w:rsidRPr="006566E0" w14:paraId="541F57B2" w14:textId="77777777" w:rsidTr="0086678B">
        <w:tc>
          <w:tcPr>
            <w:tcW w:w="0" w:type="auto"/>
            <w:shd w:val="clear" w:color="auto" w:fill="FFFFFF"/>
            <w:tcMar>
              <w:top w:w="120" w:type="dxa"/>
              <w:left w:w="0" w:type="dxa"/>
              <w:bottom w:w="120" w:type="dxa"/>
              <w:right w:w="192" w:type="dxa"/>
            </w:tcMar>
            <w:vAlign w:val="center"/>
          </w:tcPr>
          <w:p w14:paraId="64DA73C0" w14:textId="77777777" w:rsidR="00256EA9" w:rsidRPr="006566E0" w:rsidRDefault="00237E63">
            <w:pPr>
              <w:widowControl/>
              <w:spacing w:line="300" w:lineRule="atLeast"/>
              <w:jc w:val="center"/>
              <w:rPr>
                <w:rFonts w:ascii="Times New Roman" w:eastAsia="Segoe UI" w:hAnsi="Times New Roman" w:cs="Times New Roman"/>
                <w:b/>
                <w:bCs/>
                <w:color w:val="0F1115"/>
                <w:sz w:val="22"/>
                <w:szCs w:val="22"/>
              </w:rPr>
            </w:pPr>
            <w:r w:rsidRPr="006566E0">
              <w:rPr>
                <w:rStyle w:val="a3"/>
                <w:rFonts w:ascii="Times New Roman" w:eastAsia="Segoe UI" w:hAnsi="Times New Roman" w:cs="Times New Roman"/>
                <w:bCs/>
                <w:color w:val="0F1115"/>
                <w:kern w:val="0"/>
                <w:sz w:val="22"/>
                <w:szCs w:val="22"/>
                <w:lang w:bidi="ar"/>
              </w:rPr>
              <w:t>Sponsor &amp; Participating Institutions</w:t>
            </w:r>
          </w:p>
        </w:tc>
        <w:tc>
          <w:tcPr>
            <w:tcW w:w="0" w:type="auto"/>
            <w:shd w:val="clear" w:color="auto" w:fill="FFFFFF"/>
            <w:tcMar>
              <w:top w:w="120" w:type="dxa"/>
              <w:left w:w="192" w:type="dxa"/>
              <w:bottom w:w="120" w:type="dxa"/>
              <w:right w:w="0" w:type="dxa"/>
            </w:tcMar>
            <w:vAlign w:val="center"/>
          </w:tcPr>
          <w:p w14:paraId="41B2A388" w14:textId="77777777" w:rsidR="00256EA9" w:rsidRPr="006566E0" w:rsidRDefault="00237E63">
            <w:pPr>
              <w:widowControl/>
              <w:spacing w:line="300" w:lineRule="atLeast"/>
              <w:jc w:val="left"/>
              <w:rPr>
                <w:rFonts w:ascii="Times New Roman" w:eastAsia="Segoe UI" w:hAnsi="Times New Roman" w:cs="Times New Roman"/>
                <w:color w:val="0F1115"/>
                <w:sz w:val="20"/>
                <w:szCs w:val="20"/>
              </w:rPr>
            </w:pPr>
            <w:r w:rsidRPr="006566E0">
              <w:rPr>
                <w:rFonts w:ascii="Times New Roman" w:eastAsia="Segoe UI" w:hAnsi="Times New Roman" w:cs="Times New Roman"/>
                <w:color w:val="0F1115"/>
                <w:kern w:val="0"/>
                <w:sz w:val="20"/>
                <w:szCs w:val="20"/>
                <w:lang w:bidi="ar"/>
              </w:rPr>
              <w:t>Zhejiang Provincial People's Hospital</w:t>
            </w:r>
            <w:r w:rsidRPr="006566E0">
              <w:rPr>
                <w:rFonts w:ascii="Times New Roman" w:eastAsia="Segoe UI" w:hAnsi="Times New Roman" w:cs="Times New Roman"/>
                <w:color w:val="0F1115"/>
                <w:kern w:val="0"/>
                <w:sz w:val="20"/>
                <w:szCs w:val="20"/>
                <w:lang w:bidi="ar"/>
              </w:rPr>
              <w:br/>
              <w:t xml:space="preserve">Participating Institutions: The Second Affiliated Hospital, Zhejiang University School of Medicine; Hangzhou </w:t>
            </w:r>
            <w:proofErr w:type="spellStart"/>
            <w:r w:rsidRPr="006566E0">
              <w:rPr>
                <w:rFonts w:ascii="Times New Roman" w:eastAsia="Segoe UI" w:hAnsi="Times New Roman" w:cs="Times New Roman"/>
                <w:color w:val="0F1115"/>
                <w:kern w:val="0"/>
                <w:sz w:val="20"/>
                <w:szCs w:val="20"/>
                <w:lang w:bidi="ar"/>
              </w:rPr>
              <w:t>Ronggu</w:t>
            </w:r>
            <w:proofErr w:type="spellEnd"/>
            <w:r w:rsidRPr="006566E0">
              <w:rPr>
                <w:rFonts w:ascii="Times New Roman" w:eastAsia="Segoe UI" w:hAnsi="Times New Roman" w:cs="Times New Roman"/>
                <w:color w:val="0F1115"/>
                <w:kern w:val="0"/>
                <w:sz w:val="20"/>
                <w:szCs w:val="20"/>
                <w:lang w:bidi="ar"/>
              </w:rPr>
              <w:t xml:space="preserve"> Biotechnology Co., Ltd.</w:t>
            </w:r>
          </w:p>
        </w:tc>
      </w:tr>
      <w:tr w:rsidR="00256EA9" w:rsidRPr="006566E0" w14:paraId="7E82832C" w14:textId="77777777" w:rsidTr="0086678B">
        <w:tc>
          <w:tcPr>
            <w:tcW w:w="0" w:type="auto"/>
            <w:shd w:val="clear" w:color="auto" w:fill="FFFFFF"/>
            <w:tcMar>
              <w:top w:w="120" w:type="dxa"/>
              <w:left w:w="0" w:type="dxa"/>
              <w:bottom w:w="120" w:type="dxa"/>
              <w:right w:w="192" w:type="dxa"/>
            </w:tcMar>
            <w:vAlign w:val="center"/>
          </w:tcPr>
          <w:p w14:paraId="760C84C1" w14:textId="77777777" w:rsidR="00256EA9" w:rsidRPr="006566E0" w:rsidRDefault="00237E63">
            <w:pPr>
              <w:widowControl/>
              <w:spacing w:line="300" w:lineRule="atLeast"/>
              <w:jc w:val="center"/>
              <w:rPr>
                <w:rFonts w:ascii="Times New Roman" w:eastAsia="Segoe UI" w:hAnsi="Times New Roman" w:cs="Times New Roman"/>
                <w:b/>
                <w:bCs/>
                <w:color w:val="0F1115"/>
                <w:sz w:val="22"/>
                <w:szCs w:val="22"/>
              </w:rPr>
            </w:pPr>
            <w:r w:rsidRPr="006566E0">
              <w:rPr>
                <w:rStyle w:val="a3"/>
                <w:rFonts w:ascii="Times New Roman" w:eastAsia="Segoe UI" w:hAnsi="Times New Roman" w:cs="Times New Roman"/>
                <w:bCs/>
                <w:color w:val="0F1115"/>
                <w:kern w:val="0"/>
                <w:sz w:val="22"/>
                <w:szCs w:val="22"/>
                <w:lang w:bidi="ar"/>
              </w:rPr>
              <w:t>Principal Investigator</w:t>
            </w:r>
          </w:p>
        </w:tc>
        <w:tc>
          <w:tcPr>
            <w:tcW w:w="0" w:type="auto"/>
            <w:shd w:val="clear" w:color="auto" w:fill="FFFFFF"/>
            <w:tcMar>
              <w:top w:w="120" w:type="dxa"/>
              <w:left w:w="192" w:type="dxa"/>
              <w:bottom w:w="120" w:type="dxa"/>
              <w:right w:w="0" w:type="dxa"/>
            </w:tcMar>
            <w:vAlign w:val="center"/>
          </w:tcPr>
          <w:p w14:paraId="67A9B40A" w14:textId="77777777" w:rsidR="00256EA9" w:rsidRPr="006566E0" w:rsidRDefault="00237E63">
            <w:pPr>
              <w:widowControl/>
              <w:spacing w:line="300" w:lineRule="atLeast"/>
              <w:jc w:val="left"/>
              <w:rPr>
                <w:rFonts w:ascii="Times New Roman" w:eastAsia="Segoe UI" w:hAnsi="Times New Roman" w:cs="Times New Roman"/>
                <w:color w:val="0F1115"/>
                <w:sz w:val="20"/>
                <w:szCs w:val="20"/>
              </w:rPr>
            </w:pPr>
            <w:r w:rsidRPr="006566E0">
              <w:rPr>
                <w:rFonts w:ascii="Times New Roman" w:eastAsia="Segoe UI" w:hAnsi="Times New Roman" w:cs="Times New Roman"/>
                <w:color w:val="0F1115"/>
                <w:kern w:val="0"/>
                <w:sz w:val="20"/>
                <w:szCs w:val="20"/>
                <w:lang w:bidi="ar"/>
              </w:rPr>
              <w:t>Liu Yang</w:t>
            </w:r>
          </w:p>
        </w:tc>
      </w:tr>
      <w:tr w:rsidR="00256EA9" w:rsidRPr="006566E0" w14:paraId="496FBE9C" w14:textId="77777777" w:rsidTr="0086678B">
        <w:tc>
          <w:tcPr>
            <w:tcW w:w="0" w:type="auto"/>
            <w:shd w:val="clear" w:color="auto" w:fill="FFFFFF"/>
            <w:tcMar>
              <w:top w:w="120" w:type="dxa"/>
              <w:left w:w="0" w:type="dxa"/>
              <w:bottom w:w="120" w:type="dxa"/>
              <w:right w:w="192" w:type="dxa"/>
            </w:tcMar>
            <w:vAlign w:val="center"/>
          </w:tcPr>
          <w:p w14:paraId="4B17A6CD" w14:textId="77777777" w:rsidR="00256EA9" w:rsidRPr="006566E0" w:rsidRDefault="00237E63">
            <w:pPr>
              <w:widowControl/>
              <w:spacing w:line="300" w:lineRule="atLeast"/>
              <w:jc w:val="center"/>
              <w:rPr>
                <w:rFonts w:ascii="Times New Roman" w:eastAsia="Segoe UI" w:hAnsi="Times New Roman" w:cs="Times New Roman"/>
                <w:b/>
                <w:bCs/>
                <w:color w:val="0F1115"/>
                <w:sz w:val="22"/>
                <w:szCs w:val="22"/>
              </w:rPr>
            </w:pPr>
            <w:r w:rsidRPr="006566E0">
              <w:rPr>
                <w:rStyle w:val="a3"/>
                <w:rFonts w:ascii="Times New Roman" w:eastAsia="Segoe UI" w:hAnsi="Times New Roman" w:cs="Times New Roman"/>
                <w:bCs/>
                <w:color w:val="0F1115"/>
                <w:kern w:val="0"/>
                <w:sz w:val="22"/>
                <w:szCs w:val="22"/>
                <w:lang w:bidi="ar"/>
              </w:rPr>
              <w:t>Study Design</w:t>
            </w:r>
          </w:p>
        </w:tc>
        <w:tc>
          <w:tcPr>
            <w:tcW w:w="0" w:type="auto"/>
            <w:shd w:val="clear" w:color="auto" w:fill="FFFFFF"/>
            <w:tcMar>
              <w:top w:w="120" w:type="dxa"/>
              <w:left w:w="192" w:type="dxa"/>
              <w:bottom w:w="120" w:type="dxa"/>
              <w:right w:w="0" w:type="dxa"/>
            </w:tcMar>
            <w:vAlign w:val="center"/>
          </w:tcPr>
          <w:p w14:paraId="21B6DB23" w14:textId="77777777" w:rsidR="00256EA9" w:rsidRPr="006566E0" w:rsidRDefault="00237E63">
            <w:pPr>
              <w:widowControl/>
              <w:spacing w:line="300" w:lineRule="atLeast"/>
              <w:jc w:val="left"/>
              <w:rPr>
                <w:rFonts w:ascii="Times New Roman" w:eastAsia="Segoe UI" w:hAnsi="Times New Roman" w:cs="Times New Roman"/>
                <w:color w:val="0F1115"/>
                <w:sz w:val="20"/>
                <w:szCs w:val="20"/>
              </w:rPr>
            </w:pPr>
            <w:r w:rsidRPr="006566E0">
              <w:rPr>
                <w:rFonts w:ascii="Times New Roman" w:eastAsia="Segoe UI" w:hAnsi="Times New Roman" w:cs="Times New Roman"/>
                <w:color w:val="0F1115"/>
                <w:kern w:val="0"/>
                <w:sz w:val="20"/>
                <w:szCs w:val="20"/>
                <w:lang w:bidi="ar"/>
              </w:rPr>
              <w:t>Single-arm, open-label, dose-escalation, single-center study</w:t>
            </w:r>
          </w:p>
        </w:tc>
      </w:tr>
      <w:tr w:rsidR="00256EA9" w:rsidRPr="006566E0" w14:paraId="5664C8DD" w14:textId="77777777" w:rsidTr="0086678B">
        <w:tc>
          <w:tcPr>
            <w:tcW w:w="0" w:type="auto"/>
            <w:shd w:val="clear" w:color="auto" w:fill="FFFFFF"/>
            <w:tcMar>
              <w:top w:w="120" w:type="dxa"/>
              <w:left w:w="0" w:type="dxa"/>
              <w:bottom w:w="120" w:type="dxa"/>
              <w:right w:w="192" w:type="dxa"/>
            </w:tcMar>
            <w:vAlign w:val="center"/>
          </w:tcPr>
          <w:p w14:paraId="0AD7C549" w14:textId="77777777" w:rsidR="00256EA9" w:rsidRPr="006566E0" w:rsidRDefault="00237E63">
            <w:pPr>
              <w:widowControl/>
              <w:spacing w:line="300" w:lineRule="atLeast"/>
              <w:jc w:val="center"/>
              <w:rPr>
                <w:rFonts w:ascii="Times New Roman" w:eastAsia="Segoe UI" w:hAnsi="Times New Roman" w:cs="Times New Roman"/>
                <w:b/>
                <w:bCs/>
                <w:color w:val="0F1115"/>
                <w:sz w:val="22"/>
                <w:szCs w:val="22"/>
              </w:rPr>
            </w:pPr>
            <w:r w:rsidRPr="006566E0">
              <w:rPr>
                <w:rStyle w:val="a3"/>
                <w:rFonts w:ascii="Times New Roman" w:eastAsia="Segoe UI" w:hAnsi="Times New Roman" w:cs="Times New Roman"/>
                <w:bCs/>
                <w:color w:val="0F1115"/>
                <w:kern w:val="0"/>
                <w:sz w:val="22"/>
                <w:szCs w:val="22"/>
                <w:lang w:bidi="ar"/>
              </w:rPr>
              <w:t>Study Objectives</w:t>
            </w:r>
          </w:p>
        </w:tc>
        <w:tc>
          <w:tcPr>
            <w:tcW w:w="0" w:type="auto"/>
            <w:shd w:val="clear" w:color="auto" w:fill="FFFFFF"/>
            <w:tcMar>
              <w:top w:w="120" w:type="dxa"/>
              <w:left w:w="192" w:type="dxa"/>
              <w:bottom w:w="120" w:type="dxa"/>
              <w:right w:w="0" w:type="dxa"/>
            </w:tcMar>
            <w:vAlign w:val="center"/>
          </w:tcPr>
          <w:p w14:paraId="56EBEA86" w14:textId="78582C57" w:rsidR="00256EA9" w:rsidRPr="006566E0" w:rsidRDefault="00237E63">
            <w:pPr>
              <w:widowControl/>
              <w:spacing w:line="300" w:lineRule="atLeast"/>
              <w:jc w:val="left"/>
              <w:rPr>
                <w:rFonts w:ascii="Times New Roman" w:eastAsia="Segoe UI" w:hAnsi="Times New Roman" w:cs="Times New Roman"/>
                <w:color w:val="0F1115"/>
                <w:sz w:val="20"/>
                <w:szCs w:val="20"/>
              </w:rPr>
            </w:pPr>
            <w:r w:rsidRPr="006566E0">
              <w:rPr>
                <w:rStyle w:val="a3"/>
                <w:rFonts w:ascii="Times New Roman" w:eastAsia="Segoe UI" w:hAnsi="Times New Roman" w:cs="Times New Roman"/>
                <w:b w:val="0"/>
                <w:color w:val="0F1115"/>
                <w:kern w:val="0"/>
                <w:sz w:val="20"/>
                <w:szCs w:val="20"/>
                <w:lang w:bidi="ar"/>
              </w:rPr>
              <w:t>Primary Objective:</w:t>
            </w:r>
            <w:r w:rsidRPr="006566E0">
              <w:rPr>
                <w:rFonts w:ascii="Times New Roman" w:eastAsia="Segoe UI" w:hAnsi="Times New Roman" w:cs="Times New Roman"/>
                <w:color w:val="0F1115"/>
                <w:kern w:val="0"/>
                <w:sz w:val="20"/>
                <w:szCs w:val="20"/>
                <w:lang w:bidi="ar"/>
              </w:rPr>
              <w:t> To investigate the maximum tolerated dose (MTD) and dose-limiting toxicities (DLTs) of Claudin18.2-targeted umbilical cord blood-derived CAR-NK cells (CB CAR-NK18</w:t>
            </w:r>
            <w:r w:rsidR="006B6A25" w:rsidRPr="006566E0">
              <w:rPr>
                <w:rFonts w:ascii="Times New Roman" w:eastAsia="Segoe UI" w:hAnsi="Times New Roman" w:cs="Times New Roman" w:hint="eastAsia"/>
                <w:color w:val="0F1115"/>
                <w:kern w:val="0"/>
                <w:sz w:val="20"/>
                <w:szCs w:val="20"/>
                <w:lang w:bidi="ar"/>
              </w:rPr>
              <w:t>.</w:t>
            </w:r>
            <w:r w:rsidRPr="006566E0">
              <w:rPr>
                <w:rFonts w:ascii="Times New Roman" w:eastAsia="Segoe UI" w:hAnsi="Times New Roman" w:cs="Times New Roman"/>
                <w:color w:val="0F1115"/>
                <w:kern w:val="0"/>
                <w:sz w:val="20"/>
                <w:szCs w:val="20"/>
                <w:lang w:bidi="ar"/>
              </w:rPr>
              <w:t>2) in patients with advanced gastric cancer and advanced pancreatic cancer.</w:t>
            </w:r>
            <w:r w:rsidRPr="006566E0">
              <w:rPr>
                <w:rFonts w:ascii="Times New Roman" w:eastAsia="Segoe UI" w:hAnsi="Times New Roman" w:cs="Times New Roman"/>
                <w:color w:val="0F1115"/>
                <w:kern w:val="0"/>
                <w:sz w:val="20"/>
                <w:szCs w:val="20"/>
                <w:lang w:bidi="ar"/>
              </w:rPr>
              <w:br/>
            </w:r>
            <w:r w:rsidRPr="006566E0">
              <w:rPr>
                <w:rStyle w:val="a3"/>
                <w:rFonts w:ascii="Times New Roman" w:eastAsia="Segoe UI" w:hAnsi="Times New Roman" w:cs="Times New Roman"/>
                <w:b w:val="0"/>
                <w:color w:val="0F1115"/>
                <w:kern w:val="0"/>
                <w:sz w:val="20"/>
                <w:szCs w:val="20"/>
                <w:lang w:bidi="ar"/>
              </w:rPr>
              <w:t>Secondary Objectives:</w:t>
            </w:r>
            <w:r w:rsidRPr="006566E0">
              <w:rPr>
                <w:rFonts w:ascii="Times New Roman" w:eastAsia="Segoe UI" w:hAnsi="Times New Roman" w:cs="Times New Roman"/>
                <w:color w:val="0F1115"/>
                <w:kern w:val="0"/>
                <w:sz w:val="20"/>
                <w:szCs w:val="20"/>
                <w:lang w:bidi="ar"/>
              </w:rPr>
              <w:br/>
              <w:t>1. To evaluate the efficacy of CB CAR-NK18</w:t>
            </w:r>
            <w:r w:rsidR="004D0867">
              <w:rPr>
                <w:rFonts w:ascii="Times New Roman" w:eastAsia="Segoe UI" w:hAnsi="Times New Roman" w:cs="Times New Roman" w:hint="eastAsia"/>
                <w:color w:val="0F1115"/>
                <w:kern w:val="0"/>
                <w:sz w:val="20"/>
                <w:szCs w:val="20"/>
                <w:lang w:bidi="ar"/>
              </w:rPr>
              <w:t>.</w:t>
            </w:r>
            <w:r w:rsidRPr="006566E0">
              <w:rPr>
                <w:rFonts w:ascii="Times New Roman" w:eastAsia="Segoe UI" w:hAnsi="Times New Roman" w:cs="Times New Roman"/>
                <w:color w:val="0F1115"/>
                <w:kern w:val="0"/>
                <w:sz w:val="20"/>
                <w:szCs w:val="20"/>
                <w:lang w:bidi="ar"/>
              </w:rPr>
              <w:t>2 in patients with advanced gastric cancer and advanced pancreatic cancer, including objective response rate (ORR), disease control rate (DCR), progression-free survival (PFS), overall survival (OS), and duration of response (DOR).</w:t>
            </w:r>
            <w:r w:rsidRPr="006566E0">
              <w:rPr>
                <w:rFonts w:ascii="Times New Roman" w:eastAsia="Segoe UI" w:hAnsi="Times New Roman" w:cs="Times New Roman"/>
                <w:color w:val="0F1115"/>
                <w:kern w:val="0"/>
                <w:sz w:val="20"/>
                <w:szCs w:val="20"/>
                <w:lang w:bidi="ar"/>
              </w:rPr>
              <w:br/>
              <w:t>2. To assess the expansion and persistence of CAR-NK cells in the peripheral blood of patients.</w:t>
            </w:r>
          </w:p>
        </w:tc>
      </w:tr>
      <w:tr w:rsidR="00256EA9" w:rsidRPr="006566E0" w14:paraId="0C3BA9A4" w14:textId="77777777" w:rsidTr="0086678B">
        <w:tc>
          <w:tcPr>
            <w:tcW w:w="0" w:type="auto"/>
            <w:shd w:val="clear" w:color="auto" w:fill="FFFFFF"/>
            <w:tcMar>
              <w:top w:w="120" w:type="dxa"/>
              <w:left w:w="0" w:type="dxa"/>
              <w:bottom w:w="120" w:type="dxa"/>
              <w:right w:w="192" w:type="dxa"/>
            </w:tcMar>
            <w:vAlign w:val="center"/>
          </w:tcPr>
          <w:p w14:paraId="104FB71A" w14:textId="77777777" w:rsidR="00256EA9" w:rsidRPr="006566E0" w:rsidRDefault="00237E63">
            <w:pPr>
              <w:widowControl/>
              <w:spacing w:line="300" w:lineRule="atLeast"/>
              <w:jc w:val="center"/>
              <w:rPr>
                <w:rFonts w:ascii="Times New Roman" w:eastAsia="Segoe UI" w:hAnsi="Times New Roman" w:cs="Times New Roman"/>
                <w:b/>
                <w:bCs/>
                <w:color w:val="0F1115"/>
                <w:sz w:val="22"/>
                <w:szCs w:val="22"/>
              </w:rPr>
            </w:pPr>
            <w:r w:rsidRPr="006566E0">
              <w:rPr>
                <w:rStyle w:val="a3"/>
                <w:rFonts w:ascii="Times New Roman" w:eastAsia="Segoe UI" w:hAnsi="Times New Roman" w:cs="Times New Roman"/>
                <w:bCs/>
                <w:color w:val="0F1115"/>
                <w:kern w:val="0"/>
                <w:sz w:val="22"/>
                <w:szCs w:val="22"/>
                <w:lang w:bidi="ar"/>
              </w:rPr>
              <w:t>Sample Size</w:t>
            </w:r>
          </w:p>
        </w:tc>
        <w:tc>
          <w:tcPr>
            <w:tcW w:w="0" w:type="auto"/>
            <w:shd w:val="clear" w:color="auto" w:fill="FFFFFF"/>
            <w:tcMar>
              <w:top w:w="120" w:type="dxa"/>
              <w:left w:w="192" w:type="dxa"/>
              <w:bottom w:w="120" w:type="dxa"/>
              <w:right w:w="0" w:type="dxa"/>
            </w:tcMar>
            <w:vAlign w:val="center"/>
          </w:tcPr>
          <w:p w14:paraId="0F3EB9B7" w14:textId="2619D654" w:rsidR="00256EA9" w:rsidRPr="006566E0" w:rsidRDefault="00B0224B">
            <w:pPr>
              <w:widowControl/>
              <w:spacing w:line="300" w:lineRule="atLeast"/>
              <w:jc w:val="left"/>
              <w:rPr>
                <w:rFonts w:ascii="Times New Roman" w:eastAsia="Segoe UI" w:hAnsi="Times New Roman" w:cs="Times New Roman"/>
                <w:color w:val="0F1115"/>
                <w:sz w:val="20"/>
                <w:szCs w:val="20"/>
              </w:rPr>
            </w:pPr>
            <w:r w:rsidRPr="006566E0">
              <w:rPr>
                <w:rFonts w:ascii="Times New Roman" w:eastAsia="Segoe UI" w:hAnsi="Times New Roman" w:cs="Times New Roman"/>
                <w:color w:val="0F1115"/>
                <w:sz w:val="20"/>
                <w:szCs w:val="20"/>
              </w:rPr>
              <w:t>9-18</w:t>
            </w:r>
          </w:p>
        </w:tc>
      </w:tr>
      <w:tr w:rsidR="00256EA9" w:rsidRPr="006566E0" w14:paraId="7BA1EEE9" w14:textId="77777777" w:rsidTr="0086678B">
        <w:tc>
          <w:tcPr>
            <w:tcW w:w="0" w:type="auto"/>
            <w:shd w:val="clear" w:color="auto" w:fill="FFFFFF"/>
            <w:tcMar>
              <w:top w:w="120" w:type="dxa"/>
              <w:left w:w="0" w:type="dxa"/>
              <w:bottom w:w="120" w:type="dxa"/>
              <w:right w:w="192" w:type="dxa"/>
            </w:tcMar>
            <w:vAlign w:val="center"/>
          </w:tcPr>
          <w:p w14:paraId="706BD599" w14:textId="77777777" w:rsidR="00256EA9" w:rsidRPr="006566E0" w:rsidRDefault="00237E63">
            <w:pPr>
              <w:widowControl/>
              <w:spacing w:line="300" w:lineRule="atLeast"/>
              <w:jc w:val="center"/>
              <w:rPr>
                <w:rFonts w:ascii="Times New Roman" w:eastAsia="Segoe UI" w:hAnsi="Times New Roman" w:cs="Times New Roman"/>
                <w:b/>
                <w:bCs/>
                <w:color w:val="0F1115"/>
                <w:sz w:val="22"/>
                <w:szCs w:val="22"/>
              </w:rPr>
            </w:pPr>
            <w:r w:rsidRPr="006566E0">
              <w:rPr>
                <w:rStyle w:val="a3"/>
                <w:rFonts w:ascii="Times New Roman" w:eastAsia="Segoe UI" w:hAnsi="Times New Roman" w:cs="Times New Roman"/>
                <w:bCs/>
                <w:color w:val="0F1115"/>
                <w:kern w:val="0"/>
                <w:sz w:val="22"/>
                <w:szCs w:val="22"/>
                <w:lang w:bidi="ar"/>
              </w:rPr>
              <w:t>Study Population</w:t>
            </w:r>
          </w:p>
        </w:tc>
        <w:tc>
          <w:tcPr>
            <w:tcW w:w="0" w:type="auto"/>
            <w:shd w:val="clear" w:color="auto" w:fill="FFFFFF"/>
            <w:tcMar>
              <w:top w:w="120" w:type="dxa"/>
              <w:left w:w="192" w:type="dxa"/>
              <w:bottom w:w="120" w:type="dxa"/>
              <w:right w:w="0" w:type="dxa"/>
            </w:tcMar>
            <w:vAlign w:val="center"/>
          </w:tcPr>
          <w:p w14:paraId="4E62F0BA" w14:textId="77777777" w:rsidR="00256EA9" w:rsidRPr="006566E0" w:rsidRDefault="00237E63">
            <w:pPr>
              <w:widowControl/>
              <w:spacing w:line="300" w:lineRule="atLeast"/>
              <w:jc w:val="left"/>
              <w:rPr>
                <w:rFonts w:ascii="Times New Roman" w:eastAsia="Segoe UI" w:hAnsi="Times New Roman" w:cs="Times New Roman"/>
                <w:color w:val="0F1115"/>
                <w:sz w:val="20"/>
                <w:szCs w:val="20"/>
              </w:rPr>
            </w:pPr>
            <w:r w:rsidRPr="006566E0">
              <w:rPr>
                <w:rFonts w:ascii="Times New Roman" w:eastAsia="Segoe UI" w:hAnsi="Times New Roman" w:cs="Times New Roman"/>
                <w:color w:val="0F1115"/>
                <w:kern w:val="0"/>
                <w:sz w:val="20"/>
                <w:szCs w:val="20"/>
                <w:lang w:bidi="ar"/>
              </w:rPr>
              <w:t>Patients with advanced gastric cancer or advanced pancreatic cancer who have failed or are intolerant to standard therapies.</w:t>
            </w:r>
          </w:p>
        </w:tc>
      </w:tr>
      <w:tr w:rsidR="00256EA9" w:rsidRPr="006566E0" w14:paraId="7DA22C72" w14:textId="77777777" w:rsidTr="0086678B">
        <w:tc>
          <w:tcPr>
            <w:tcW w:w="0" w:type="auto"/>
            <w:shd w:val="clear" w:color="auto" w:fill="FFFFFF"/>
            <w:tcMar>
              <w:top w:w="120" w:type="dxa"/>
              <w:left w:w="0" w:type="dxa"/>
              <w:bottom w:w="120" w:type="dxa"/>
              <w:right w:w="192" w:type="dxa"/>
            </w:tcMar>
            <w:vAlign w:val="center"/>
          </w:tcPr>
          <w:p w14:paraId="2EF4A7FF" w14:textId="77777777" w:rsidR="00256EA9" w:rsidRPr="006566E0" w:rsidRDefault="00237E63">
            <w:pPr>
              <w:widowControl/>
              <w:spacing w:line="300" w:lineRule="atLeast"/>
              <w:jc w:val="center"/>
              <w:rPr>
                <w:rFonts w:ascii="Times New Roman" w:eastAsia="Segoe UI" w:hAnsi="Times New Roman" w:cs="Times New Roman"/>
                <w:b/>
                <w:bCs/>
                <w:color w:val="0F1115"/>
                <w:sz w:val="22"/>
                <w:szCs w:val="22"/>
              </w:rPr>
            </w:pPr>
            <w:r w:rsidRPr="006566E0">
              <w:rPr>
                <w:rStyle w:val="a3"/>
                <w:rFonts w:ascii="Times New Roman" w:eastAsia="Segoe UI" w:hAnsi="Times New Roman" w:cs="Times New Roman"/>
                <w:bCs/>
                <w:color w:val="0F1115"/>
                <w:kern w:val="0"/>
                <w:sz w:val="22"/>
                <w:szCs w:val="22"/>
                <w:lang w:bidi="ar"/>
              </w:rPr>
              <w:t>Study Methodology</w:t>
            </w:r>
          </w:p>
        </w:tc>
        <w:tc>
          <w:tcPr>
            <w:tcW w:w="0" w:type="auto"/>
            <w:shd w:val="clear" w:color="auto" w:fill="FFFFFF"/>
            <w:tcMar>
              <w:top w:w="120" w:type="dxa"/>
              <w:left w:w="192" w:type="dxa"/>
              <w:bottom w:w="120" w:type="dxa"/>
              <w:right w:w="0" w:type="dxa"/>
            </w:tcMar>
            <w:vAlign w:val="center"/>
          </w:tcPr>
          <w:p w14:paraId="03BCC69B" w14:textId="77777777" w:rsidR="00256EA9" w:rsidRPr="006566E0" w:rsidRDefault="00237E63">
            <w:pPr>
              <w:widowControl/>
              <w:spacing w:line="300" w:lineRule="atLeast"/>
              <w:jc w:val="left"/>
              <w:rPr>
                <w:rFonts w:ascii="Times New Roman" w:eastAsia="Segoe UI" w:hAnsi="Times New Roman" w:cs="Times New Roman"/>
                <w:color w:val="0F1115"/>
                <w:sz w:val="20"/>
                <w:szCs w:val="20"/>
              </w:rPr>
            </w:pPr>
            <w:r w:rsidRPr="006566E0">
              <w:rPr>
                <w:rFonts w:ascii="Times New Roman" w:eastAsia="Segoe UI" w:hAnsi="Times New Roman" w:cs="Times New Roman"/>
                <w:color w:val="0F1115"/>
                <w:kern w:val="0"/>
                <w:sz w:val="20"/>
                <w:szCs w:val="20"/>
                <w:lang w:bidi="ar"/>
              </w:rPr>
              <w:t>"3+3" dose-escalation design.</w:t>
            </w:r>
          </w:p>
        </w:tc>
      </w:tr>
      <w:tr w:rsidR="00256EA9" w:rsidRPr="006566E0" w14:paraId="397F3356" w14:textId="77777777" w:rsidTr="0086678B">
        <w:tc>
          <w:tcPr>
            <w:tcW w:w="0" w:type="auto"/>
            <w:shd w:val="clear" w:color="auto" w:fill="FFFFFF"/>
            <w:tcMar>
              <w:top w:w="120" w:type="dxa"/>
              <w:left w:w="0" w:type="dxa"/>
              <w:bottom w:w="120" w:type="dxa"/>
              <w:right w:w="192" w:type="dxa"/>
            </w:tcMar>
            <w:vAlign w:val="center"/>
          </w:tcPr>
          <w:p w14:paraId="5124F6EB" w14:textId="77777777" w:rsidR="00256EA9" w:rsidRPr="006566E0" w:rsidRDefault="00237E63">
            <w:pPr>
              <w:widowControl/>
              <w:spacing w:line="300" w:lineRule="atLeast"/>
              <w:jc w:val="center"/>
              <w:rPr>
                <w:rFonts w:ascii="Times New Roman" w:eastAsia="Segoe UI" w:hAnsi="Times New Roman" w:cs="Times New Roman"/>
                <w:b/>
                <w:bCs/>
                <w:color w:val="0F1115"/>
                <w:sz w:val="22"/>
                <w:szCs w:val="22"/>
              </w:rPr>
            </w:pPr>
            <w:r w:rsidRPr="006566E0">
              <w:rPr>
                <w:rStyle w:val="a3"/>
                <w:rFonts w:ascii="Times New Roman" w:eastAsia="Segoe UI" w:hAnsi="Times New Roman" w:cs="Times New Roman"/>
                <w:bCs/>
                <w:color w:val="0F1115"/>
                <w:kern w:val="0"/>
                <w:sz w:val="22"/>
                <w:szCs w:val="22"/>
                <w:lang w:bidi="ar"/>
              </w:rPr>
              <w:t>Inclusion Criteria</w:t>
            </w:r>
          </w:p>
        </w:tc>
        <w:tc>
          <w:tcPr>
            <w:tcW w:w="0" w:type="auto"/>
            <w:shd w:val="clear" w:color="auto" w:fill="FFFFFF"/>
            <w:tcMar>
              <w:top w:w="120" w:type="dxa"/>
              <w:left w:w="192" w:type="dxa"/>
              <w:bottom w:w="120" w:type="dxa"/>
              <w:right w:w="0" w:type="dxa"/>
            </w:tcMar>
            <w:vAlign w:val="center"/>
          </w:tcPr>
          <w:p w14:paraId="2BA0A206" w14:textId="77777777" w:rsidR="00256EA9" w:rsidRPr="006566E0" w:rsidRDefault="00237E63">
            <w:pPr>
              <w:widowControl/>
              <w:spacing w:line="300" w:lineRule="atLeast"/>
              <w:jc w:val="left"/>
              <w:rPr>
                <w:rFonts w:ascii="Times New Roman" w:eastAsia="Segoe UI" w:hAnsi="Times New Roman" w:cs="Times New Roman"/>
                <w:color w:val="0F1115"/>
                <w:sz w:val="20"/>
                <w:szCs w:val="20"/>
              </w:rPr>
            </w:pPr>
            <w:r w:rsidRPr="006566E0">
              <w:rPr>
                <w:rFonts w:ascii="Times New Roman" w:eastAsia="Segoe UI" w:hAnsi="Times New Roman" w:cs="Times New Roman"/>
                <w:color w:val="0F1115"/>
                <w:kern w:val="0"/>
                <w:sz w:val="20"/>
                <w:szCs w:val="20"/>
                <w:lang w:bidi="ar"/>
              </w:rPr>
              <w:t>1. Male or female patients aged 18-75 years (inclusive).</w:t>
            </w:r>
            <w:r w:rsidRPr="006566E0">
              <w:rPr>
                <w:rFonts w:ascii="Times New Roman" w:eastAsia="Segoe UI" w:hAnsi="Times New Roman" w:cs="Times New Roman"/>
                <w:color w:val="0F1115"/>
                <w:kern w:val="0"/>
                <w:sz w:val="20"/>
                <w:szCs w:val="20"/>
                <w:lang w:bidi="ar"/>
              </w:rPr>
              <w:br/>
              <w:t>2. Ability to understand and voluntarily provide written informed consent, and willingness and ability to comply with all study requirements.</w:t>
            </w:r>
            <w:r w:rsidRPr="006566E0">
              <w:rPr>
                <w:rFonts w:ascii="Times New Roman" w:eastAsia="Segoe UI" w:hAnsi="Times New Roman" w:cs="Times New Roman"/>
                <w:color w:val="0F1115"/>
                <w:kern w:val="0"/>
                <w:sz w:val="20"/>
                <w:szCs w:val="20"/>
                <w:lang w:bidi="ar"/>
              </w:rPr>
              <w:br/>
              <w:t xml:space="preserve">3. Histologically or cytologically confirmed advanced gastric cancer or pancreatic cancer, with failure or intolerance to </w:t>
            </w:r>
            <w:r w:rsidRPr="006566E0">
              <w:rPr>
                <w:rFonts w:ascii="Times New Roman" w:eastAsia="Segoe UI" w:hAnsi="Times New Roman" w:cs="Times New Roman"/>
                <w:color w:val="0F1115"/>
                <w:kern w:val="0"/>
                <w:sz w:val="20"/>
                <w:szCs w:val="20"/>
                <w:lang w:bidi="ar"/>
              </w:rPr>
              <w:lastRenderedPageBreak/>
              <w:t>standard therapy.</w:t>
            </w:r>
            <w:r w:rsidRPr="006566E0">
              <w:rPr>
                <w:rFonts w:ascii="Times New Roman" w:eastAsia="Segoe UI" w:hAnsi="Times New Roman" w:cs="Times New Roman"/>
                <w:color w:val="0F1115"/>
                <w:kern w:val="0"/>
                <w:sz w:val="20"/>
                <w:szCs w:val="20"/>
                <w:lang w:bidi="ar"/>
              </w:rPr>
              <w:br/>
              <w:t>4. Immunohistochemistry (IHC) detection of CLDN18.2 with ≥10% tumor cell membrane staining.</w:t>
            </w:r>
            <w:r w:rsidRPr="006566E0">
              <w:rPr>
                <w:rFonts w:ascii="Times New Roman" w:eastAsia="Segoe UI" w:hAnsi="Times New Roman" w:cs="Times New Roman"/>
                <w:color w:val="0F1115"/>
                <w:kern w:val="0"/>
                <w:sz w:val="20"/>
                <w:szCs w:val="20"/>
                <w:lang w:bidi="ar"/>
              </w:rPr>
              <w:br/>
              <w:t>5. At least one measurable lesion according to RECIST v1.1.</w:t>
            </w:r>
            <w:r w:rsidRPr="006566E0">
              <w:rPr>
                <w:rFonts w:ascii="Times New Roman" w:eastAsia="Segoe UI" w:hAnsi="Times New Roman" w:cs="Times New Roman"/>
                <w:color w:val="0F1115"/>
                <w:kern w:val="0"/>
                <w:sz w:val="20"/>
                <w:szCs w:val="20"/>
                <w:lang w:bidi="ar"/>
              </w:rPr>
              <w:br/>
              <w:t>6. ECOG performance status of 0-1.</w:t>
            </w:r>
            <w:r w:rsidRPr="006566E0">
              <w:rPr>
                <w:rFonts w:ascii="Times New Roman" w:eastAsia="Segoe UI" w:hAnsi="Times New Roman" w:cs="Times New Roman"/>
                <w:color w:val="0F1115"/>
                <w:kern w:val="0"/>
                <w:sz w:val="20"/>
                <w:szCs w:val="20"/>
                <w:lang w:bidi="ar"/>
              </w:rPr>
              <w:br/>
              <w:t>7. All toxicities from prior anti-tumor therapy have resolved to Grade 0-1 (per NCI CTCAE v5.0).</w:t>
            </w:r>
            <w:r w:rsidRPr="006566E0">
              <w:rPr>
                <w:rFonts w:ascii="Times New Roman" w:eastAsia="Segoe UI" w:hAnsi="Times New Roman" w:cs="Times New Roman"/>
                <w:color w:val="0F1115"/>
                <w:kern w:val="0"/>
                <w:sz w:val="20"/>
                <w:szCs w:val="20"/>
                <w:lang w:bidi="ar"/>
              </w:rPr>
              <w:br/>
              <w:t>8. Life expectancy ≥12 weeks.</w:t>
            </w:r>
            <w:r w:rsidRPr="006566E0">
              <w:rPr>
                <w:rFonts w:ascii="Times New Roman" w:eastAsia="Segoe UI" w:hAnsi="Times New Roman" w:cs="Times New Roman"/>
                <w:color w:val="0F1115"/>
                <w:kern w:val="0"/>
                <w:sz w:val="20"/>
                <w:szCs w:val="20"/>
                <w:lang w:bidi="ar"/>
              </w:rPr>
              <w:br/>
              <w:t>9. Adequate organ function, as evidenced by:</w:t>
            </w:r>
            <w:r w:rsidRPr="006566E0">
              <w:rPr>
                <w:rFonts w:ascii="Times New Roman" w:eastAsia="Segoe UI" w:hAnsi="Times New Roman" w:cs="Times New Roman"/>
                <w:color w:val="0F1115"/>
                <w:kern w:val="0"/>
                <w:sz w:val="20"/>
                <w:szCs w:val="20"/>
                <w:lang w:bidi="ar"/>
              </w:rPr>
              <w:br/>
              <w:t> • Absolute neutrophil count (ANC) ≥2000/mm³, platelets ≥50,000/mm³.</w:t>
            </w:r>
            <w:r w:rsidRPr="006566E0">
              <w:rPr>
                <w:rFonts w:ascii="Times New Roman" w:eastAsia="Segoe UI" w:hAnsi="Times New Roman" w:cs="Times New Roman"/>
                <w:color w:val="0F1115"/>
                <w:kern w:val="0"/>
                <w:sz w:val="20"/>
                <w:szCs w:val="20"/>
                <w:lang w:bidi="ar"/>
              </w:rPr>
              <w:br/>
              <w:t> • Serum creatinine ≤1.5 mg/dL; ALT/AST ≤2.5 × upper limit of normal (ULN); total bilirubin ≤1.5 mg/dL.</w:t>
            </w:r>
            <w:r w:rsidRPr="006566E0">
              <w:rPr>
                <w:rFonts w:ascii="Times New Roman" w:eastAsia="Segoe UI" w:hAnsi="Times New Roman" w:cs="Times New Roman"/>
                <w:color w:val="0F1115"/>
                <w:kern w:val="0"/>
                <w:sz w:val="20"/>
                <w:szCs w:val="20"/>
                <w:lang w:bidi="ar"/>
              </w:rPr>
              <w:br/>
              <w:t> • Left ventricular ejection fraction (LVEF) ≥50%.</w:t>
            </w:r>
            <w:r w:rsidRPr="006566E0">
              <w:rPr>
                <w:rFonts w:ascii="Times New Roman" w:eastAsia="Segoe UI" w:hAnsi="Times New Roman" w:cs="Times New Roman"/>
                <w:color w:val="0F1115"/>
                <w:kern w:val="0"/>
                <w:sz w:val="20"/>
                <w:szCs w:val="20"/>
                <w:lang w:bidi="ar"/>
              </w:rPr>
              <w:br/>
              <w:t> • INR or PT ≤1.5 × ULN; aPTT ≤1.5 × ULN.</w:t>
            </w:r>
            <w:r w:rsidRPr="006566E0">
              <w:rPr>
                <w:rFonts w:ascii="Times New Roman" w:eastAsia="Segoe UI" w:hAnsi="Times New Roman" w:cs="Times New Roman"/>
                <w:color w:val="0F1115"/>
                <w:kern w:val="0"/>
                <w:sz w:val="20"/>
                <w:szCs w:val="20"/>
                <w:lang w:bidi="ar"/>
              </w:rPr>
              <w:br/>
              <w:t>10. Women of childbearing potential must have a negative serum pregnancy test and agree to use effective contraception during the treatment period and for 12 months after CAR-NK cell infusion.</w:t>
            </w:r>
            <w:r w:rsidRPr="006566E0">
              <w:rPr>
                <w:rFonts w:ascii="Times New Roman" w:eastAsia="Segoe UI" w:hAnsi="Times New Roman" w:cs="Times New Roman"/>
                <w:color w:val="0F1115"/>
                <w:kern w:val="0"/>
                <w:sz w:val="20"/>
                <w:szCs w:val="20"/>
                <w:lang w:bidi="ar"/>
              </w:rPr>
              <w:br/>
              <w:t>11. Male patients must agree to use effective contraception during the study and for 12 months after CAR-NK cell infusion.</w:t>
            </w:r>
          </w:p>
        </w:tc>
      </w:tr>
      <w:tr w:rsidR="00256EA9" w:rsidRPr="006566E0" w14:paraId="56952067" w14:textId="77777777" w:rsidTr="0086678B">
        <w:tc>
          <w:tcPr>
            <w:tcW w:w="0" w:type="auto"/>
            <w:shd w:val="clear" w:color="auto" w:fill="FFFFFF"/>
            <w:tcMar>
              <w:top w:w="120" w:type="dxa"/>
              <w:left w:w="0" w:type="dxa"/>
              <w:bottom w:w="120" w:type="dxa"/>
              <w:right w:w="192" w:type="dxa"/>
            </w:tcMar>
            <w:vAlign w:val="center"/>
          </w:tcPr>
          <w:p w14:paraId="3C5E151E" w14:textId="77777777" w:rsidR="00256EA9" w:rsidRPr="006566E0" w:rsidRDefault="00237E63">
            <w:pPr>
              <w:widowControl/>
              <w:spacing w:line="300" w:lineRule="atLeast"/>
              <w:jc w:val="center"/>
              <w:rPr>
                <w:rFonts w:ascii="Times New Roman" w:eastAsia="Segoe UI" w:hAnsi="Times New Roman" w:cs="Times New Roman"/>
                <w:b/>
                <w:bCs/>
                <w:color w:val="0F1115"/>
                <w:sz w:val="22"/>
                <w:szCs w:val="22"/>
              </w:rPr>
            </w:pPr>
            <w:r w:rsidRPr="006566E0">
              <w:rPr>
                <w:rStyle w:val="a3"/>
                <w:rFonts w:ascii="Times New Roman" w:eastAsia="Segoe UI" w:hAnsi="Times New Roman" w:cs="Times New Roman"/>
                <w:bCs/>
                <w:color w:val="0F1115"/>
                <w:kern w:val="0"/>
                <w:sz w:val="22"/>
                <w:szCs w:val="22"/>
                <w:lang w:bidi="ar"/>
              </w:rPr>
              <w:lastRenderedPageBreak/>
              <w:t>Exclusion Criteria</w:t>
            </w:r>
          </w:p>
        </w:tc>
        <w:tc>
          <w:tcPr>
            <w:tcW w:w="0" w:type="auto"/>
            <w:shd w:val="clear" w:color="auto" w:fill="FFFFFF"/>
            <w:tcMar>
              <w:top w:w="120" w:type="dxa"/>
              <w:left w:w="192" w:type="dxa"/>
              <w:bottom w:w="120" w:type="dxa"/>
              <w:right w:w="0" w:type="dxa"/>
            </w:tcMar>
            <w:vAlign w:val="center"/>
          </w:tcPr>
          <w:p w14:paraId="5872CA08" w14:textId="77777777" w:rsidR="00256EA9" w:rsidRPr="006566E0" w:rsidRDefault="00237E63">
            <w:pPr>
              <w:widowControl/>
              <w:spacing w:line="300" w:lineRule="atLeast"/>
              <w:jc w:val="left"/>
              <w:rPr>
                <w:rFonts w:ascii="Times New Roman" w:eastAsia="Segoe UI" w:hAnsi="Times New Roman" w:cs="Times New Roman"/>
                <w:color w:val="0F1115"/>
                <w:sz w:val="20"/>
                <w:szCs w:val="20"/>
              </w:rPr>
            </w:pPr>
            <w:r w:rsidRPr="006566E0">
              <w:rPr>
                <w:rFonts w:ascii="Times New Roman" w:eastAsia="Segoe UI" w:hAnsi="Times New Roman" w:cs="Times New Roman"/>
                <w:color w:val="0F1115"/>
                <w:kern w:val="0"/>
                <w:sz w:val="20"/>
                <w:szCs w:val="20"/>
                <w:lang w:bidi="ar"/>
              </w:rPr>
              <w:t>1. History of other malignancies.</w:t>
            </w:r>
            <w:r w:rsidRPr="006566E0">
              <w:rPr>
                <w:rFonts w:ascii="Times New Roman" w:eastAsia="Segoe UI" w:hAnsi="Times New Roman" w:cs="Times New Roman"/>
                <w:color w:val="0F1115"/>
                <w:kern w:val="0"/>
                <w:sz w:val="20"/>
                <w:szCs w:val="20"/>
                <w:lang w:bidi="ar"/>
              </w:rPr>
              <w:br/>
              <w:t>2. Prior treatment with any Claudin18.2-targeted cellular therapy (e.g., CAR-T, CAR-NK, TCR-T) within 3 months before study treatment.</w:t>
            </w:r>
            <w:r w:rsidRPr="006566E0">
              <w:rPr>
                <w:rFonts w:ascii="Times New Roman" w:eastAsia="Segoe UI" w:hAnsi="Times New Roman" w:cs="Times New Roman"/>
                <w:color w:val="0F1115"/>
                <w:kern w:val="0"/>
                <w:sz w:val="20"/>
                <w:szCs w:val="20"/>
                <w:lang w:bidi="ar"/>
              </w:rPr>
              <w:br/>
              <w:t>3. Known hypersensitivity to cell therapy or any related agent.</w:t>
            </w:r>
            <w:r w:rsidRPr="006566E0">
              <w:rPr>
                <w:rFonts w:ascii="Times New Roman" w:eastAsia="Segoe UI" w:hAnsi="Times New Roman" w:cs="Times New Roman"/>
                <w:color w:val="0F1115"/>
                <w:kern w:val="0"/>
                <w:sz w:val="20"/>
                <w:szCs w:val="20"/>
                <w:lang w:bidi="ar"/>
              </w:rPr>
              <w:br/>
              <w:t>4. Active autoimmune disease.</w:t>
            </w:r>
            <w:r w:rsidRPr="006566E0">
              <w:rPr>
                <w:rFonts w:ascii="Times New Roman" w:eastAsia="Segoe UI" w:hAnsi="Times New Roman" w:cs="Times New Roman"/>
                <w:color w:val="0F1115"/>
                <w:kern w:val="0"/>
                <w:sz w:val="20"/>
                <w:szCs w:val="20"/>
                <w:lang w:bidi="ar"/>
              </w:rPr>
              <w:br/>
              <w:t>5. Uncontrolled active infection.</w:t>
            </w:r>
            <w:r w:rsidRPr="006566E0">
              <w:rPr>
                <w:rFonts w:ascii="Times New Roman" w:eastAsia="Segoe UI" w:hAnsi="Times New Roman" w:cs="Times New Roman"/>
                <w:color w:val="0F1115"/>
                <w:kern w:val="0"/>
                <w:sz w:val="20"/>
                <w:szCs w:val="20"/>
                <w:lang w:bidi="ar"/>
              </w:rPr>
              <w:br/>
              <w:t>6. HIV infection, or uncontrolled HBV, HCV, or syphilis infection.</w:t>
            </w:r>
            <w:r w:rsidRPr="006566E0">
              <w:rPr>
                <w:rFonts w:ascii="Times New Roman" w:eastAsia="Segoe UI" w:hAnsi="Times New Roman" w:cs="Times New Roman"/>
                <w:color w:val="0F1115"/>
                <w:kern w:val="0"/>
                <w:sz w:val="20"/>
                <w:szCs w:val="20"/>
                <w:lang w:bidi="ar"/>
              </w:rPr>
              <w:br/>
              <w:t>7. Central nervous system (CNS) metastases, leptomeningeal disease, or spinal cord compression.</w:t>
            </w:r>
            <w:r w:rsidRPr="006566E0">
              <w:rPr>
                <w:rFonts w:ascii="Times New Roman" w:eastAsia="Segoe UI" w:hAnsi="Times New Roman" w:cs="Times New Roman"/>
                <w:color w:val="0F1115"/>
                <w:kern w:val="0"/>
                <w:sz w:val="20"/>
                <w:szCs w:val="20"/>
                <w:lang w:bidi="ar"/>
              </w:rPr>
              <w:br/>
              <w:t>8. Severe cardiac disease.</w:t>
            </w:r>
            <w:r w:rsidRPr="006566E0">
              <w:rPr>
                <w:rFonts w:ascii="Times New Roman" w:eastAsia="Segoe UI" w:hAnsi="Times New Roman" w:cs="Times New Roman"/>
                <w:color w:val="0F1115"/>
                <w:kern w:val="0"/>
                <w:sz w:val="20"/>
                <w:szCs w:val="20"/>
                <w:lang w:bidi="ar"/>
              </w:rPr>
              <w:br/>
              <w:t>9. Unstable/active peptic ulcer or gastrointestinal bleeding.</w:t>
            </w:r>
            <w:r w:rsidRPr="006566E0">
              <w:rPr>
                <w:rFonts w:ascii="Times New Roman" w:eastAsia="Segoe UI" w:hAnsi="Times New Roman" w:cs="Times New Roman"/>
                <w:color w:val="0F1115"/>
                <w:kern w:val="0"/>
                <w:sz w:val="20"/>
                <w:szCs w:val="20"/>
                <w:lang w:bidi="ar"/>
              </w:rPr>
              <w:br/>
              <w:t>10. History of gastrointestinal bleeding or bleeding tendency.</w:t>
            </w:r>
            <w:r w:rsidRPr="006566E0">
              <w:rPr>
                <w:rFonts w:ascii="Times New Roman" w:eastAsia="Segoe UI" w:hAnsi="Times New Roman" w:cs="Times New Roman"/>
                <w:color w:val="0F1115"/>
                <w:kern w:val="0"/>
                <w:sz w:val="20"/>
                <w:szCs w:val="20"/>
                <w:lang w:bidi="ar"/>
              </w:rPr>
              <w:br/>
              <w:t>11. Pregnant or lactating women.</w:t>
            </w:r>
            <w:r w:rsidRPr="006566E0">
              <w:rPr>
                <w:rFonts w:ascii="Times New Roman" w:eastAsia="Segoe UI" w:hAnsi="Times New Roman" w:cs="Times New Roman"/>
                <w:color w:val="0F1115"/>
                <w:kern w:val="0"/>
                <w:sz w:val="20"/>
                <w:szCs w:val="20"/>
                <w:lang w:bidi="ar"/>
              </w:rPr>
              <w:br/>
              <w:t>12. Any other condition deemed inappropriate for study participation by the investigator.</w:t>
            </w:r>
          </w:p>
        </w:tc>
      </w:tr>
      <w:tr w:rsidR="00256EA9" w:rsidRPr="006566E0" w14:paraId="632BDD9B" w14:textId="77777777" w:rsidTr="0086678B">
        <w:tc>
          <w:tcPr>
            <w:tcW w:w="0" w:type="auto"/>
            <w:shd w:val="clear" w:color="auto" w:fill="FFFFFF"/>
            <w:tcMar>
              <w:top w:w="120" w:type="dxa"/>
              <w:left w:w="0" w:type="dxa"/>
              <w:bottom w:w="120" w:type="dxa"/>
              <w:right w:w="192" w:type="dxa"/>
            </w:tcMar>
            <w:vAlign w:val="center"/>
          </w:tcPr>
          <w:p w14:paraId="5462F2D0" w14:textId="77777777" w:rsidR="00256EA9" w:rsidRPr="006566E0" w:rsidRDefault="00237E63">
            <w:pPr>
              <w:widowControl/>
              <w:spacing w:line="300" w:lineRule="atLeast"/>
              <w:jc w:val="center"/>
              <w:rPr>
                <w:rFonts w:ascii="Times New Roman" w:eastAsia="Segoe UI" w:hAnsi="Times New Roman" w:cs="Times New Roman"/>
                <w:b/>
                <w:bCs/>
                <w:color w:val="0F1115"/>
                <w:sz w:val="22"/>
                <w:szCs w:val="22"/>
              </w:rPr>
            </w:pPr>
            <w:r w:rsidRPr="006566E0">
              <w:rPr>
                <w:rStyle w:val="a3"/>
                <w:rFonts w:ascii="Times New Roman" w:eastAsia="Segoe UI" w:hAnsi="Times New Roman" w:cs="Times New Roman"/>
                <w:bCs/>
                <w:color w:val="0F1115"/>
                <w:kern w:val="0"/>
                <w:sz w:val="22"/>
                <w:szCs w:val="22"/>
                <w:lang w:bidi="ar"/>
              </w:rPr>
              <w:t>Study Completion Criteria</w:t>
            </w:r>
          </w:p>
        </w:tc>
        <w:tc>
          <w:tcPr>
            <w:tcW w:w="0" w:type="auto"/>
            <w:shd w:val="clear" w:color="auto" w:fill="FFFFFF"/>
            <w:tcMar>
              <w:top w:w="120" w:type="dxa"/>
              <w:left w:w="192" w:type="dxa"/>
              <w:bottom w:w="120" w:type="dxa"/>
              <w:right w:w="0" w:type="dxa"/>
            </w:tcMar>
            <w:vAlign w:val="center"/>
          </w:tcPr>
          <w:p w14:paraId="3E23FD9D" w14:textId="77777777" w:rsidR="00256EA9" w:rsidRPr="006566E0" w:rsidRDefault="00237E63">
            <w:pPr>
              <w:widowControl/>
              <w:spacing w:line="300" w:lineRule="atLeast"/>
              <w:jc w:val="left"/>
              <w:rPr>
                <w:rFonts w:ascii="Times New Roman" w:eastAsia="Segoe UI" w:hAnsi="Times New Roman" w:cs="Times New Roman"/>
                <w:color w:val="0F1115"/>
                <w:sz w:val="20"/>
                <w:szCs w:val="20"/>
              </w:rPr>
            </w:pPr>
            <w:r w:rsidRPr="006566E0">
              <w:rPr>
                <w:rFonts w:ascii="Times New Roman" w:eastAsia="Segoe UI" w:hAnsi="Times New Roman" w:cs="Times New Roman"/>
                <w:color w:val="0F1115"/>
                <w:kern w:val="0"/>
                <w:sz w:val="20"/>
                <w:szCs w:val="20"/>
                <w:lang w:bidi="ar"/>
              </w:rPr>
              <w:t>Achievement of primary and/or secondary endpoints.</w:t>
            </w:r>
          </w:p>
        </w:tc>
      </w:tr>
      <w:tr w:rsidR="00256EA9" w:rsidRPr="006566E0" w14:paraId="06CE4D49" w14:textId="77777777" w:rsidTr="0086678B">
        <w:tc>
          <w:tcPr>
            <w:tcW w:w="0" w:type="auto"/>
            <w:shd w:val="clear" w:color="auto" w:fill="FFFFFF"/>
            <w:tcMar>
              <w:top w:w="120" w:type="dxa"/>
              <w:left w:w="0" w:type="dxa"/>
              <w:bottom w:w="120" w:type="dxa"/>
              <w:right w:w="192" w:type="dxa"/>
            </w:tcMar>
            <w:vAlign w:val="center"/>
          </w:tcPr>
          <w:p w14:paraId="08B7A3FA" w14:textId="77777777" w:rsidR="00256EA9" w:rsidRPr="006566E0" w:rsidRDefault="00237E63">
            <w:pPr>
              <w:widowControl/>
              <w:spacing w:line="300" w:lineRule="atLeast"/>
              <w:jc w:val="center"/>
              <w:rPr>
                <w:rFonts w:ascii="Times New Roman" w:eastAsia="Segoe UI" w:hAnsi="Times New Roman" w:cs="Times New Roman"/>
                <w:b/>
                <w:bCs/>
                <w:color w:val="0F1115"/>
                <w:sz w:val="22"/>
                <w:szCs w:val="22"/>
              </w:rPr>
            </w:pPr>
            <w:r w:rsidRPr="006566E0">
              <w:rPr>
                <w:rStyle w:val="a3"/>
                <w:rFonts w:ascii="Times New Roman" w:eastAsia="Segoe UI" w:hAnsi="Times New Roman" w:cs="Times New Roman"/>
                <w:bCs/>
                <w:color w:val="0F1115"/>
                <w:kern w:val="0"/>
                <w:sz w:val="22"/>
                <w:szCs w:val="22"/>
                <w:lang w:bidi="ar"/>
              </w:rPr>
              <w:lastRenderedPageBreak/>
              <w:t>Withdrawal/Discontinuation Criteria</w:t>
            </w:r>
          </w:p>
        </w:tc>
        <w:tc>
          <w:tcPr>
            <w:tcW w:w="0" w:type="auto"/>
            <w:shd w:val="clear" w:color="auto" w:fill="FFFFFF"/>
            <w:tcMar>
              <w:top w:w="120" w:type="dxa"/>
              <w:left w:w="192" w:type="dxa"/>
              <w:bottom w:w="120" w:type="dxa"/>
              <w:right w:w="0" w:type="dxa"/>
            </w:tcMar>
            <w:vAlign w:val="center"/>
          </w:tcPr>
          <w:p w14:paraId="7472A7C0" w14:textId="77777777" w:rsidR="00256EA9" w:rsidRPr="006566E0" w:rsidRDefault="00237E63">
            <w:pPr>
              <w:widowControl/>
              <w:spacing w:line="300" w:lineRule="atLeast"/>
              <w:jc w:val="left"/>
              <w:rPr>
                <w:rFonts w:ascii="Times New Roman" w:eastAsia="Segoe UI" w:hAnsi="Times New Roman" w:cs="Times New Roman"/>
                <w:color w:val="0F1115"/>
                <w:sz w:val="20"/>
                <w:szCs w:val="20"/>
              </w:rPr>
            </w:pPr>
            <w:r w:rsidRPr="006566E0">
              <w:rPr>
                <w:rFonts w:ascii="Times New Roman" w:eastAsia="Segoe UI" w:hAnsi="Times New Roman" w:cs="Times New Roman"/>
                <w:color w:val="0F1115"/>
                <w:kern w:val="0"/>
                <w:sz w:val="20"/>
                <w:szCs w:val="20"/>
                <w:lang w:bidi="ar"/>
              </w:rPr>
              <w:t>Subjects lost to follow-up due to refusal of treatment/assessment; loss of contact without explanation; other reasons preventing continuation in the clinical study.</w:t>
            </w:r>
          </w:p>
        </w:tc>
      </w:tr>
      <w:tr w:rsidR="00256EA9" w:rsidRPr="006566E0" w14:paraId="40849214" w14:textId="77777777" w:rsidTr="0086678B">
        <w:tc>
          <w:tcPr>
            <w:tcW w:w="0" w:type="auto"/>
            <w:shd w:val="clear" w:color="auto" w:fill="FFFFFF"/>
            <w:tcMar>
              <w:top w:w="120" w:type="dxa"/>
              <w:left w:w="0" w:type="dxa"/>
              <w:bottom w:w="120" w:type="dxa"/>
              <w:right w:w="192" w:type="dxa"/>
            </w:tcMar>
            <w:vAlign w:val="center"/>
          </w:tcPr>
          <w:p w14:paraId="7CA8BC66" w14:textId="77777777" w:rsidR="00256EA9" w:rsidRPr="006566E0" w:rsidRDefault="00237E63">
            <w:pPr>
              <w:widowControl/>
              <w:spacing w:line="300" w:lineRule="atLeast"/>
              <w:jc w:val="center"/>
              <w:rPr>
                <w:rFonts w:ascii="Times New Roman" w:eastAsia="Segoe UI" w:hAnsi="Times New Roman" w:cs="Times New Roman"/>
                <w:b/>
                <w:bCs/>
                <w:color w:val="0F1115"/>
                <w:sz w:val="22"/>
                <w:szCs w:val="22"/>
              </w:rPr>
            </w:pPr>
            <w:r w:rsidRPr="006566E0">
              <w:rPr>
                <w:rStyle w:val="a3"/>
                <w:rFonts w:ascii="Times New Roman" w:eastAsia="Segoe UI" w:hAnsi="Times New Roman" w:cs="Times New Roman"/>
                <w:bCs/>
                <w:color w:val="0F1115"/>
                <w:kern w:val="0"/>
                <w:sz w:val="22"/>
                <w:szCs w:val="22"/>
                <w:lang w:bidi="ar"/>
              </w:rPr>
              <w:t>Early Termination Criteria</w:t>
            </w:r>
          </w:p>
        </w:tc>
        <w:tc>
          <w:tcPr>
            <w:tcW w:w="0" w:type="auto"/>
            <w:shd w:val="clear" w:color="auto" w:fill="FFFFFF"/>
            <w:tcMar>
              <w:top w:w="120" w:type="dxa"/>
              <w:left w:w="192" w:type="dxa"/>
              <w:bottom w:w="120" w:type="dxa"/>
              <w:right w:w="0" w:type="dxa"/>
            </w:tcMar>
            <w:vAlign w:val="center"/>
          </w:tcPr>
          <w:p w14:paraId="2CB43C7B" w14:textId="77777777" w:rsidR="00256EA9" w:rsidRPr="006566E0" w:rsidRDefault="00237E63">
            <w:pPr>
              <w:widowControl/>
              <w:spacing w:line="300" w:lineRule="atLeast"/>
              <w:jc w:val="left"/>
              <w:rPr>
                <w:rFonts w:ascii="Times New Roman" w:eastAsia="Segoe UI" w:hAnsi="Times New Roman" w:cs="Times New Roman"/>
                <w:color w:val="0F1115"/>
                <w:sz w:val="20"/>
                <w:szCs w:val="20"/>
              </w:rPr>
            </w:pPr>
            <w:r w:rsidRPr="006566E0">
              <w:rPr>
                <w:rFonts w:ascii="Times New Roman" w:eastAsia="Segoe UI" w:hAnsi="Times New Roman" w:cs="Times New Roman"/>
                <w:color w:val="0F1115"/>
                <w:kern w:val="0"/>
                <w:sz w:val="20"/>
                <w:szCs w:val="20"/>
                <w:lang w:bidi="ar"/>
              </w:rPr>
              <w:t>1. </w:t>
            </w:r>
            <w:r w:rsidRPr="006566E0">
              <w:rPr>
                <w:rStyle w:val="a3"/>
                <w:rFonts w:ascii="Times New Roman" w:eastAsia="Segoe UI" w:hAnsi="Times New Roman" w:cs="Times New Roman"/>
                <w:b w:val="0"/>
                <w:color w:val="0F1115"/>
                <w:kern w:val="0"/>
                <w:sz w:val="20"/>
                <w:szCs w:val="20"/>
                <w:lang w:bidi="ar"/>
              </w:rPr>
              <w:t>Investigator's Decision:</w:t>
            </w:r>
            <w:r w:rsidRPr="006566E0">
              <w:rPr>
                <w:rFonts w:ascii="Times New Roman" w:eastAsia="Segoe UI" w:hAnsi="Times New Roman" w:cs="Times New Roman"/>
                <w:color w:val="0F1115"/>
                <w:kern w:val="0"/>
                <w:sz w:val="20"/>
                <w:szCs w:val="20"/>
                <w:lang w:bidi="ar"/>
              </w:rPr>
              <w:t> Disease progression; poor compliance; any safety concern as judged by the investigator; subject pregnancy; other situations warranting withdrawal.</w:t>
            </w:r>
            <w:r w:rsidRPr="006566E0">
              <w:rPr>
                <w:rFonts w:ascii="Times New Roman" w:eastAsia="Segoe UI" w:hAnsi="Times New Roman" w:cs="Times New Roman"/>
                <w:color w:val="0F1115"/>
                <w:kern w:val="0"/>
                <w:sz w:val="20"/>
                <w:szCs w:val="20"/>
                <w:lang w:bidi="ar"/>
              </w:rPr>
              <w:br/>
              <w:t>2. </w:t>
            </w:r>
            <w:r w:rsidRPr="006566E0">
              <w:rPr>
                <w:rStyle w:val="a3"/>
                <w:rFonts w:ascii="Times New Roman" w:eastAsia="Segoe UI" w:hAnsi="Times New Roman" w:cs="Times New Roman"/>
                <w:b w:val="0"/>
                <w:color w:val="0F1115"/>
                <w:kern w:val="0"/>
                <w:sz w:val="20"/>
                <w:szCs w:val="20"/>
                <w:lang w:bidi="ar"/>
              </w:rPr>
              <w:t>Subject's Decision:</w:t>
            </w:r>
            <w:r w:rsidRPr="006566E0">
              <w:rPr>
                <w:rFonts w:ascii="Times New Roman" w:eastAsia="Segoe UI" w:hAnsi="Times New Roman" w:cs="Times New Roman"/>
                <w:color w:val="0F1115"/>
                <w:kern w:val="0"/>
                <w:sz w:val="20"/>
                <w:szCs w:val="20"/>
                <w:lang w:bidi="ar"/>
              </w:rPr>
              <w:t> Subject unwillingness to continue; intolerable adverse reactions.</w:t>
            </w:r>
          </w:p>
        </w:tc>
      </w:tr>
      <w:tr w:rsidR="00256EA9" w:rsidRPr="006566E0" w14:paraId="273488CB" w14:textId="77777777" w:rsidTr="0086678B">
        <w:tc>
          <w:tcPr>
            <w:tcW w:w="0" w:type="auto"/>
            <w:shd w:val="clear" w:color="auto" w:fill="FFFFFF"/>
            <w:tcMar>
              <w:top w:w="120" w:type="dxa"/>
              <w:left w:w="0" w:type="dxa"/>
              <w:bottom w:w="120" w:type="dxa"/>
              <w:right w:w="192" w:type="dxa"/>
            </w:tcMar>
            <w:vAlign w:val="center"/>
          </w:tcPr>
          <w:p w14:paraId="56A1059E" w14:textId="77777777" w:rsidR="00256EA9" w:rsidRPr="006566E0" w:rsidRDefault="00237E63">
            <w:pPr>
              <w:widowControl/>
              <w:spacing w:line="300" w:lineRule="atLeast"/>
              <w:jc w:val="center"/>
              <w:rPr>
                <w:rFonts w:ascii="Times New Roman" w:eastAsia="Segoe UI" w:hAnsi="Times New Roman" w:cs="Times New Roman"/>
                <w:b/>
                <w:bCs/>
                <w:color w:val="0F1115"/>
                <w:sz w:val="22"/>
                <w:szCs w:val="22"/>
              </w:rPr>
            </w:pPr>
            <w:r w:rsidRPr="006566E0">
              <w:rPr>
                <w:rStyle w:val="a3"/>
                <w:rFonts w:ascii="Times New Roman" w:eastAsia="Segoe UI" w:hAnsi="Times New Roman" w:cs="Times New Roman"/>
                <w:bCs/>
                <w:color w:val="0F1115"/>
                <w:kern w:val="0"/>
                <w:sz w:val="22"/>
                <w:szCs w:val="22"/>
                <w:lang w:bidi="ar"/>
              </w:rPr>
              <w:t>Dosing Regimen</w:t>
            </w:r>
          </w:p>
        </w:tc>
        <w:tc>
          <w:tcPr>
            <w:tcW w:w="0" w:type="auto"/>
            <w:shd w:val="clear" w:color="auto" w:fill="FFFFFF"/>
            <w:tcMar>
              <w:top w:w="120" w:type="dxa"/>
              <w:left w:w="192" w:type="dxa"/>
              <w:bottom w:w="120" w:type="dxa"/>
              <w:right w:w="0" w:type="dxa"/>
            </w:tcMar>
            <w:vAlign w:val="center"/>
          </w:tcPr>
          <w:p w14:paraId="72257CC6" w14:textId="036E4385" w:rsidR="00256EA9" w:rsidRPr="004D0867" w:rsidRDefault="00237E63">
            <w:pPr>
              <w:widowControl/>
              <w:spacing w:line="300" w:lineRule="atLeast"/>
              <w:jc w:val="left"/>
              <w:rPr>
                <w:rFonts w:ascii="Times New Roman" w:eastAsia="Segoe UI" w:hAnsi="Times New Roman" w:cs="Times New Roman"/>
                <w:color w:val="0F1115"/>
                <w:kern w:val="0"/>
                <w:sz w:val="20"/>
                <w:szCs w:val="20"/>
                <w:lang w:bidi="ar"/>
              </w:rPr>
            </w:pPr>
            <w:r w:rsidRPr="006566E0">
              <w:rPr>
                <w:rStyle w:val="a3"/>
                <w:rFonts w:ascii="Times New Roman" w:eastAsia="Segoe UI" w:hAnsi="Times New Roman" w:cs="Times New Roman"/>
                <w:b w:val="0"/>
                <w:color w:val="0F1115"/>
                <w:kern w:val="0"/>
                <w:sz w:val="20"/>
                <w:szCs w:val="20"/>
                <w:lang w:bidi="ar"/>
              </w:rPr>
              <w:t>"3+3" Dose Escalation:</w:t>
            </w:r>
            <w:r w:rsidRPr="006566E0">
              <w:rPr>
                <w:rFonts w:ascii="Times New Roman" w:eastAsia="Segoe UI" w:hAnsi="Times New Roman" w:cs="Times New Roman"/>
                <w:color w:val="0F1115"/>
                <w:kern w:val="0"/>
                <w:sz w:val="20"/>
                <w:szCs w:val="20"/>
                <w:lang w:bidi="ar"/>
              </w:rPr>
              <w:br/>
              <w:t xml:space="preserve">Three dose levels: </w:t>
            </w:r>
            <w:bookmarkStart w:id="0" w:name="OLE_LINK1"/>
            <w:r w:rsidRPr="006566E0">
              <w:rPr>
                <w:rFonts w:ascii="Times New Roman" w:eastAsia="Segoe UI" w:hAnsi="Times New Roman" w:cs="Times New Roman"/>
                <w:color w:val="0F1115"/>
                <w:kern w:val="0"/>
                <w:sz w:val="20"/>
                <w:szCs w:val="20"/>
                <w:lang w:bidi="ar"/>
              </w:rPr>
              <w:t>Dose Level 1 (2×10⁶ cells/kg/infusion on days 0, 3, and 7), Dose Level 2 (</w:t>
            </w:r>
            <w:r w:rsidR="00632119" w:rsidRPr="006566E0">
              <w:rPr>
                <w:rFonts w:ascii="Times New Roman" w:eastAsia="Segoe UI" w:hAnsi="Times New Roman" w:cs="Times New Roman"/>
                <w:color w:val="0F1115"/>
                <w:kern w:val="0"/>
                <w:sz w:val="20"/>
                <w:szCs w:val="20"/>
                <w:lang w:bidi="ar"/>
              </w:rPr>
              <w:t>8</w:t>
            </w:r>
            <w:r w:rsidRPr="006566E0">
              <w:rPr>
                <w:rFonts w:ascii="Times New Roman" w:eastAsia="Segoe UI" w:hAnsi="Times New Roman" w:cs="Times New Roman"/>
                <w:color w:val="0F1115"/>
                <w:kern w:val="0"/>
                <w:sz w:val="20"/>
                <w:szCs w:val="20"/>
                <w:lang w:bidi="ar"/>
              </w:rPr>
              <w:t>×10⁶ cells/kg/infusion on days 0, 3, and 7), Dose Level 3 (</w:t>
            </w:r>
            <w:r w:rsidR="00632119" w:rsidRPr="006566E0">
              <w:rPr>
                <w:rFonts w:ascii="Times New Roman" w:eastAsia="Segoe UI" w:hAnsi="Times New Roman" w:cs="Times New Roman"/>
                <w:color w:val="0F1115"/>
                <w:kern w:val="0"/>
                <w:sz w:val="20"/>
                <w:szCs w:val="20"/>
                <w:lang w:bidi="ar"/>
              </w:rPr>
              <w:t>1</w:t>
            </w:r>
            <w:r w:rsidR="00614EB3" w:rsidRPr="006566E0">
              <w:rPr>
                <w:rFonts w:ascii="Times New Roman" w:eastAsia="Segoe UI" w:hAnsi="Times New Roman" w:cs="Times New Roman" w:hint="eastAsia"/>
                <w:color w:val="0F1115"/>
                <w:kern w:val="0"/>
                <w:sz w:val="20"/>
                <w:szCs w:val="20"/>
                <w:lang w:bidi="ar"/>
              </w:rPr>
              <w:t>.</w:t>
            </w:r>
            <w:r w:rsidR="00632119" w:rsidRPr="006566E0">
              <w:rPr>
                <w:rFonts w:ascii="Times New Roman" w:eastAsia="Segoe UI" w:hAnsi="Times New Roman" w:cs="Times New Roman"/>
                <w:color w:val="0F1115"/>
                <w:kern w:val="0"/>
                <w:sz w:val="20"/>
                <w:szCs w:val="20"/>
                <w:lang w:bidi="ar"/>
              </w:rPr>
              <w:t>6</w:t>
            </w:r>
            <w:r w:rsidRPr="006566E0">
              <w:rPr>
                <w:rFonts w:ascii="Times New Roman" w:eastAsia="Segoe UI" w:hAnsi="Times New Roman" w:cs="Times New Roman"/>
                <w:color w:val="0F1115"/>
                <w:kern w:val="0"/>
                <w:sz w:val="20"/>
                <w:szCs w:val="20"/>
                <w:lang w:bidi="ar"/>
              </w:rPr>
              <w:t>×10</w:t>
            </w:r>
            <w:r w:rsidR="00614EB3" w:rsidRPr="006566E0">
              <w:rPr>
                <w:rFonts w:ascii="Times New Roman" w:eastAsia="Segoe UI" w:hAnsi="Times New Roman" w:cs="Times New Roman" w:hint="eastAsia"/>
                <w:color w:val="0F1115"/>
                <w:kern w:val="0"/>
                <w:sz w:val="20"/>
                <w:szCs w:val="20"/>
                <w:vertAlign w:val="superscript"/>
                <w:lang w:bidi="ar"/>
              </w:rPr>
              <w:t>7</w:t>
            </w:r>
            <w:r w:rsidRPr="006566E0">
              <w:rPr>
                <w:rFonts w:ascii="Times New Roman" w:eastAsia="Segoe UI" w:hAnsi="Times New Roman" w:cs="Times New Roman"/>
                <w:color w:val="0F1115"/>
                <w:kern w:val="0"/>
                <w:sz w:val="20"/>
                <w:szCs w:val="20"/>
                <w:vertAlign w:val="superscript"/>
                <w:lang w:bidi="ar"/>
              </w:rPr>
              <w:t xml:space="preserve"> </w:t>
            </w:r>
            <w:r w:rsidRPr="006566E0">
              <w:rPr>
                <w:rFonts w:ascii="Times New Roman" w:eastAsia="Segoe UI" w:hAnsi="Times New Roman" w:cs="Times New Roman"/>
                <w:color w:val="0F1115"/>
                <w:kern w:val="0"/>
                <w:sz w:val="20"/>
                <w:szCs w:val="20"/>
                <w:lang w:bidi="ar"/>
              </w:rPr>
              <w:t xml:space="preserve">cells/kg/infusion on days 0, 3, and 7). </w:t>
            </w:r>
            <w:bookmarkEnd w:id="0"/>
            <w:r w:rsidRPr="006566E0">
              <w:rPr>
                <w:rFonts w:ascii="Times New Roman" w:eastAsia="Segoe UI" w:hAnsi="Times New Roman" w:cs="Times New Roman"/>
                <w:color w:val="0F1115"/>
                <w:kern w:val="0"/>
                <w:sz w:val="20"/>
                <w:szCs w:val="20"/>
                <w:lang w:bidi="ar"/>
              </w:rPr>
              <w:t>3-6 subjects will be enrolled per dose level. Each subject will be observed for at least 28 days after the first infusion, with a long-term follow-up period of 2 years post-first infusion.</w:t>
            </w:r>
            <w:r w:rsidRPr="006566E0">
              <w:rPr>
                <w:rFonts w:ascii="Times New Roman" w:eastAsia="Segoe UI" w:hAnsi="Times New Roman" w:cs="Times New Roman"/>
                <w:color w:val="0F1115"/>
                <w:kern w:val="0"/>
                <w:sz w:val="20"/>
                <w:szCs w:val="20"/>
                <w:lang w:bidi="ar"/>
              </w:rPr>
              <w:br/>
              <w:t>Standard "3+3" rules apply for DLT observation and dose escalation decisions.</w:t>
            </w:r>
            <w:r w:rsidR="00080DD2" w:rsidRPr="006566E0">
              <w:rPr>
                <w:rFonts w:ascii="Times New Roman" w:eastAsia="Segoe UI" w:hAnsi="Times New Roman" w:cs="Times New Roman"/>
                <w:color w:val="0F1115"/>
                <w:kern w:val="0"/>
                <w:sz w:val="20"/>
                <w:szCs w:val="20"/>
                <w:lang w:bidi="ar"/>
              </w:rPr>
              <w:t xml:space="preserve"> </w:t>
            </w:r>
            <w:r w:rsidRPr="006566E0">
              <w:rPr>
                <w:rFonts w:ascii="Times New Roman" w:eastAsia="Segoe UI" w:hAnsi="Times New Roman" w:cs="Times New Roman"/>
                <w:color w:val="0F1115"/>
                <w:kern w:val="0"/>
                <w:sz w:val="20"/>
                <w:szCs w:val="20"/>
                <w:lang w:bidi="ar"/>
              </w:rPr>
              <w:br/>
              <w:t>A minimum 7-day interval is required between initiating treatment for successive subjects within the same cohort. A minimum 28-day DLT observation period is required after the last subject in a cohort before initiating the next cohort.</w:t>
            </w:r>
            <w:r w:rsidRPr="006566E0">
              <w:rPr>
                <w:rFonts w:ascii="Times New Roman" w:eastAsia="Segoe UI" w:hAnsi="Times New Roman" w:cs="Times New Roman"/>
                <w:color w:val="0F1115"/>
                <w:kern w:val="0"/>
                <w:sz w:val="20"/>
                <w:szCs w:val="20"/>
                <w:lang w:bidi="ar"/>
              </w:rPr>
              <w:br/>
            </w:r>
            <w:r w:rsidRPr="006566E0">
              <w:rPr>
                <w:rStyle w:val="a3"/>
                <w:rFonts w:ascii="Times New Roman" w:eastAsia="Segoe UI" w:hAnsi="Times New Roman" w:cs="Times New Roman"/>
                <w:b w:val="0"/>
                <w:color w:val="0F1115"/>
                <w:kern w:val="0"/>
                <w:sz w:val="20"/>
                <w:szCs w:val="20"/>
                <w:lang w:bidi="ar"/>
              </w:rPr>
              <w:t>Lymphodepletion (Preconditioning):</w:t>
            </w:r>
            <w:r w:rsidRPr="006566E0">
              <w:rPr>
                <w:rFonts w:ascii="Times New Roman" w:eastAsia="Segoe UI" w:hAnsi="Times New Roman" w:cs="Times New Roman"/>
                <w:color w:val="0F1115"/>
                <w:kern w:val="0"/>
                <w:sz w:val="20"/>
                <w:szCs w:val="20"/>
                <w:lang w:bidi="ar"/>
              </w:rPr>
              <w:t> FC regimen: Cyclophosphamide (500 mg/m²/day, days -5 to -3) and Fludarabine (30 mg/m²/day, days -5 to -3). The first CB CAR-NK18</w:t>
            </w:r>
            <w:r w:rsidR="004D0867">
              <w:rPr>
                <w:rFonts w:ascii="Times New Roman" w:eastAsia="Segoe UI" w:hAnsi="Times New Roman" w:cs="Times New Roman" w:hint="eastAsia"/>
                <w:color w:val="0F1115"/>
                <w:kern w:val="0"/>
                <w:sz w:val="20"/>
                <w:szCs w:val="20"/>
                <w:lang w:bidi="ar"/>
              </w:rPr>
              <w:t>.</w:t>
            </w:r>
            <w:r w:rsidRPr="006566E0">
              <w:rPr>
                <w:rFonts w:ascii="Times New Roman" w:eastAsia="Segoe UI" w:hAnsi="Times New Roman" w:cs="Times New Roman"/>
                <w:color w:val="0F1115"/>
                <w:kern w:val="0"/>
                <w:sz w:val="20"/>
                <w:szCs w:val="20"/>
                <w:lang w:bidi="ar"/>
              </w:rPr>
              <w:t>2 infusion is administered 2 days after completing FC chemotherapy. The investigator may appropriately extend the FC chemotherapy duration based on the patient's lymphocyte count.</w:t>
            </w:r>
          </w:p>
        </w:tc>
      </w:tr>
      <w:tr w:rsidR="00256EA9" w:rsidRPr="006566E0" w14:paraId="4782A92F" w14:textId="77777777" w:rsidTr="0086678B">
        <w:tc>
          <w:tcPr>
            <w:tcW w:w="0" w:type="auto"/>
            <w:shd w:val="clear" w:color="auto" w:fill="FFFFFF"/>
            <w:tcMar>
              <w:top w:w="120" w:type="dxa"/>
              <w:left w:w="0" w:type="dxa"/>
              <w:bottom w:w="120" w:type="dxa"/>
              <w:right w:w="192" w:type="dxa"/>
            </w:tcMar>
            <w:vAlign w:val="center"/>
          </w:tcPr>
          <w:p w14:paraId="77435873" w14:textId="77777777" w:rsidR="00256EA9" w:rsidRPr="006566E0" w:rsidRDefault="00237E63">
            <w:pPr>
              <w:widowControl/>
              <w:spacing w:line="300" w:lineRule="atLeast"/>
              <w:jc w:val="center"/>
              <w:rPr>
                <w:rFonts w:ascii="Times New Roman" w:eastAsia="Segoe UI" w:hAnsi="Times New Roman" w:cs="Times New Roman"/>
                <w:b/>
                <w:bCs/>
                <w:color w:val="0F1115"/>
                <w:sz w:val="22"/>
                <w:szCs w:val="22"/>
              </w:rPr>
            </w:pPr>
            <w:r w:rsidRPr="006566E0">
              <w:rPr>
                <w:rStyle w:val="a3"/>
                <w:rFonts w:ascii="Times New Roman" w:eastAsia="Segoe UI" w:hAnsi="Times New Roman" w:cs="Times New Roman"/>
                <w:bCs/>
                <w:color w:val="0F1115"/>
                <w:kern w:val="0"/>
                <w:sz w:val="22"/>
                <w:szCs w:val="22"/>
                <w:lang w:bidi="ar"/>
              </w:rPr>
              <w:t>Dose-Limiting Toxicity (DLT)</w:t>
            </w:r>
          </w:p>
        </w:tc>
        <w:tc>
          <w:tcPr>
            <w:tcW w:w="0" w:type="auto"/>
            <w:shd w:val="clear" w:color="auto" w:fill="FFFFFF"/>
            <w:tcMar>
              <w:top w:w="120" w:type="dxa"/>
              <w:left w:w="192" w:type="dxa"/>
              <w:bottom w:w="120" w:type="dxa"/>
              <w:right w:w="0" w:type="dxa"/>
            </w:tcMar>
            <w:vAlign w:val="center"/>
          </w:tcPr>
          <w:p w14:paraId="5F44CECE" w14:textId="3EF45AE7" w:rsidR="00256EA9" w:rsidRPr="006566E0" w:rsidRDefault="00237E63">
            <w:pPr>
              <w:widowControl/>
              <w:spacing w:line="300" w:lineRule="atLeast"/>
              <w:jc w:val="left"/>
              <w:rPr>
                <w:rFonts w:ascii="Times New Roman" w:eastAsia="Segoe UI" w:hAnsi="Times New Roman" w:cs="Times New Roman"/>
                <w:color w:val="0F1115"/>
                <w:sz w:val="20"/>
                <w:szCs w:val="20"/>
              </w:rPr>
            </w:pPr>
            <w:r w:rsidRPr="006566E0">
              <w:rPr>
                <w:rFonts w:ascii="Times New Roman" w:eastAsia="Segoe UI" w:hAnsi="Times New Roman" w:cs="Times New Roman"/>
                <w:color w:val="0F1115"/>
                <w:kern w:val="0"/>
                <w:sz w:val="20"/>
                <w:szCs w:val="20"/>
                <w:lang w:bidi="ar"/>
              </w:rPr>
              <w:t>DLTs are defined as toxicities occurring within 28 days after the first CAR-NK18</w:t>
            </w:r>
            <w:r w:rsidR="00632119" w:rsidRPr="006566E0">
              <w:rPr>
                <w:rFonts w:ascii="Times New Roman" w:eastAsia="Segoe UI" w:hAnsi="Times New Roman" w:cs="Times New Roman"/>
                <w:color w:val="0F1115"/>
                <w:kern w:val="0"/>
                <w:sz w:val="20"/>
                <w:szCs w:val="20"/>
                <w:lang w:bidi="ar"/>
              </w:rPr>
              <w:t>.</w:t>
            </w:r>
            <w:r w:rsidRPr="006566E0">
              <w:rPr>
                <w:rFonts w:ascii="Times New Roman" w:eastAsia="Segoe UI" w:hAnsi="Times New Roman" w:cs="Times New Roman"/>
                <w:color w:val="0F1115"/>
                <w:kern w:val="0"/>
                <w:sz w:val="20"/>
                <w:szCs w:val="20"/>
                <w:lang w:bidi="ar"/>
              </w:rPr>
              <w:t>2 infusion and considered by the investigator and/or sponsor as definitely or possibly related to the study drug:</w:t>
            </w:r>
            <w:r w:rsidRPr="006566E0">
              <w:rPr>
                <w:rFonts w:ascii="Times New Roman" w:eastAsia="Segoe UI" w:hAnsi="Times New Roman" w:cs="Times New Roman"/>
                <w:color w:val="0F1115"/>
                <w:kern w:val="0"/>
                <w:sz w:val="20"/>
                <w:szCs w:val="20"/>
                <w:lang w:bidi="ar"/>
              </w:rPr>
              <w:br/>
              <w:t>• </w:t>
            </w:r>
            <w:r w:rsidRPr="006566E0">
              <w:rPr>
                <w:rStyle w:val="a3"/>
                <w:rFonts w:ascii="Times New Roman" w:eastAsia="Segoe UI" w:hAnsi="Times New Roman" w:cs="Times New Roman"/>
                <w:b w:val="0"/>
                <w:color w:val="0F1115"/>
                <w:kern w:val="0"/>
                <w:sz w:val="20"/>
                <w:szCs w:val="20"/>
                <w:lang w:bidi="ar"/>
              </w:rPr>
              <w:t>Hematologic:</w:t>
            </w:r>
            <w:r w:rsidRPr="006566E0">
              <w:rPr>
                <w:rFonts w:ascii="Times New Roman" w:eastAsia="Segoe UI" w:hAnsi="Times New Roman" w:cs="Times New Roman"/>
                <w:color w:val="0F1115"/>
                <w:kern w:val="0"/>
                <w:sz w:val="20"/>
                <w:szCs w:val="20"/>
                <w:lang w:bidi="ar"/>
              </w:rPr>
              <w:t> ANC &lt;0.5×10⁹/L lasting &gt;7 days; febrile neutropenia (ANC &lt;0.5×10⁹/L with axillary temperature &gt;38.5°C for ≥1 hour); platelets &lt;25×10⁹/L.</w:t>
            </w:r>
            <w:r w:rsidRPr="006566E0">
              <w:rPr>
                <w:rFonts w:ascii="Times New Roman" w:eastAsia="Segoe UI" w:hAnsi="Times New Roman" w:cs="Times New Roman"/>
                <w:color w:val="0F1115"/>
                <w:kern w:val="0"/>
                <w:sz w:val="20"/>
                <w:szCs w:val="20"/>
                <w:lang w:bidi="ar"/>
              </w:rPr>
              <w:br/>
              <w:t>• </w:t>
            </w:r>
            <w:r w:rsidRPr="006566E0">
              <w:rPr>
                <w:rStyle w:val="a3"/>
                <w:rFonts w:ascii="Times New Roman" w:eastAsia="Segoe UI" w:hAnsi="Times New Roman" w:cs="Times New Roman"/>
                <w:b w:val="0"/>
                <w:color w:val="0F1115"/>
                <w:kern w:val="0"/>
                <w:sz w:val="20"/>
                <w:szCs w:val="20"/>
                <w:lang w:bidi="ar"/>
              </w:rPr>
              <w:t>Non-hematologic:</w:t>
            </w:r>
            <w:r w:rsidRPr="006566E0">
              <w:rPr>
                <w:rFonts w:ascii="Times New Roman" w:eastAsia="Segoe UI" w:hAnsi="Times New Roman" w:cs="Times New Roman"/>
                <w:color w:val="0F1115"/>
                <w:kern w:val="0"/>
                <w:sz w:val="20"/>
                <w:szCs w:val="20"/>
                <w:lang w:bidi="ar"/>
              </w:rPr>
              <w:t> Any Grade ≥4 immune-related adverse event (</w:t>
            </w:r>
            <w:proofErr w:type="spellStart"/>
            <w:r w:rsidRPr="006566E0">
              <w:rPr>
                <w:rFonts w:ascii="Times New Roman" w:eastAsia="Segoe UI" w:hAnsi="Times New Roman" w:cs="Times New Roman"/>
                <w:color w:val="0F1115"/>
                <w:kern w:val="0"/>
                <w:sz w:val="20"/>
                <w:szCs w:val="20"/>
                <w:lang w:bidi="ar"/>
              </w:rPr>
              <w:t>irAE</w:t>
            </w:r>
            <w:proofErr w:type="spellEnd"/>
            <w:r w:rsidRPr="006566E0">
              <w:rPr>
                <w:rFonts w:ascii="Times New Roman" w:eastAsia="Segoe UI" w:hAnsi="Times New Roman" w:cs="Times New Roman"/>
                <w:color w:val="0F1115"/>
                <w:kern w:val="0"/>
                <w:sz w:val="20"/>
                <w:szCs w:val="20"/>
                <w:lang w:bidi="ar"/>
              </w:rPr>
              <w:t xml:space="preserve">); Grade ≥3 </w:t>
            </w:r>
            <w:proofErr w:type="spellStart"/>
            <w:r w:rsidRPr="006566E0">
              <w:rPr>
                <w:rFonts w:ascii="Times New Roman" w:eastAsia="Segoe UI" w:hAnsi="Times New Roman" w:cs="Times New Roman"/>
                <w:color w:val="0F1115"/>
                <w:kern w:val="0"/>
                <w:sz w:val="20"/>
                <w:szCs w:val="20"/>
                <w:lang w:bidi="ar"/>
              </w:rPr>
              <w:t>irAE</w:t>
            </w:r>
            <w:proofErr w:type="spellEnd"/>
            <w:r w:rsidRPr="006566E0">
              <w:rPr>
                <w:rFonts w:ascii="Times New Roman" w:eastAsia="Segoe UI" w:hAnsi="Times New Roman" w:cs="Times New Roman"/>
                <w:color w:val="0F1115"/>
                <w:kern w:val="0"/>
                <w:sz w:val="20"/>
                <w:szCs w:val="20"/>
                <w:lang w:bidi="ar"/>
              </w:rPr>
              <w:t xml:space="preserve"> not resolving to ≤Grade 1 within 3 days with best supportive care.</w:t>
            </w:r>
            <w:r w:rsidRPr="006566E0">
              <w:rPr>
                <w:rFonts w:ascii="Times New Roman" w:eastAsia="Segoe UI" w:hAnsi="Times New Roman" w:cs="Times New Roman"/>
                <w:color w:val="0F1115"/>
                <w:kern w:val="0"/>
                <w:sz w:val="20"/>
                <w:szCs w:val="20"/>
                <w:lang w:bidi="ar"/>
              </w:rPr>
              <w:br/>
              <w:t>• Grade 5 toxicity (e.g., death).</w:t>
            </w:r>
            <w:r w:rsidRPr="006566E0">
              <w:rPr>
                <w:rFonts w:ascii="Times New Roman" w:eastAsia="Segoe UI" w:hAnsi="Times New Roman" w:cs="Times New Roman"/>
                <w:color w:val="0F1115"/>
                <w:kern w:val="0"/>
                <w:sz w:val="20"/>
                <w:szCs w:val="20"/>
                <w:lang w:bidi="ar"/>
              </w:rPr>
              <w:br/>
            </w:r>
            <w:r w:rsidRPr="006566E0">
              <w:rPr>
                <w:rFonts w:ascii="Times New Roman" w:eastAsia="Segoe UI" w:hAnsi="Times New Roman" w:cs="Times New Roman"/>
                <w:color w:val="0F1115"/>
                <w:kern w:val="0"/>
                <w:sz w:val="20"/>
                <w:szCs w:val="20"/>
                <w:lang w:bidi="ar"/>
              </w:rPr>
              <w:lastRenderedPageBreak/>
              <w:t>• Other toxicities requiring early study termination as discussed by the investigator and the Safety Monitoring Committee.</w:t>
            </w:r>
          </w:p>
        </w:tc>
      </w:tr>
      <w:tr w:rsidR="00256EA9" w:rsidRPr="006566E0" w14:paraId="01A5A7B9" w14:textId="77777777" w:rsidTr="0086678B">
        <w:tc>
          <w:tcPr>
            <w:tcW w:w="0" w:type="auto"/>
            <w:shd w:val="clear" w:color="auto" w:fill="FFFFFF"/>
            <w:tcMar>
              <w:top w:w="120" w:type="dxa"/>
              <w:left w:w="0" w:type="dxa"/>
              <w:bottom w:w="120" w:type="dxa"/>
              <w:right w:w="192" w:type="dxa"/>
            </w:tcMar>
            <w:vAlign w:val="center"/>
          </w:tcPr>
          <w:p w14:paraId="1936DA31" w14:textId="77777777" w:rsidR="00256EA9" w:rsidRPr="006566E0" w:rsidRDefault="00237E63">
            <w:pPr>
              <w:widowControl/>
              <w:spacing w:line="300" w:lineRule="atLeast"/>
              <w:jc w:val="center"/>
              <w:rPr>
                <w:rFonts w:ascii="Times New Roman" w:eastAsia="Segoe UI" w:hAnsi="Times New Roman" w:cs="Times New Roman"/>
                <w:b/>
                <w:bCs/>
                <w:color w:val="0F1115"/>
                <w:sz w:val="22"/>
                <w:szCs w:val="22"/>
              </w:rPr>
            </w:pPr>
            <w:r w:rsidRPr="006566E0">
              <w:rPr>
                <w:rStyle w:val="a3"/>
                <w:rFonts w:ascii="Times New Roman" w:eastAsia="Segoe UI" w:hAnsi="Times New Roman" w:cs="Times New Roman"/>
                <w:bCs/>
                <w:color w:val="0F1115"/>
                <w:kern w:val="0"/>
                <w:sz w:val="22"/>
                <w:szCs w:val="22"/>
                <w:lang w:bidi="ar"/>
              </w:rPr>
              <w:lastRenderedPageBreak/>
              <w:t>Primary Efficacy Endpoints</w:t>
            </w:r>
          </w:p>
        </w:tc>
        <w:tc>
          <w:tcPr>
            <w:tcW w:w="0" w:type="auto"/>
            <w:shd w:val="clear" w:color="auto" w:fill="FFFFFF"/>
            <w:tcMar>
              <w:top w:w="120" w:type="dxa"/>
              <w:left w:w="192" w:type="dxa"/>
              <w:bottom w:w="120" w:type="dxa"/>
              <w:right w:w="0" w:type="dxa"/>
            </w:tcMar>
            <w:vAlign w:val="center"/>
          </w:tcPr>
          <w:p w14:paraId="01D7F08B" w14:textId="77777777" w:rsidR="00256EA9" w:rsidRPr="006566E0" w:rsidRDefault="00237E63">
            <w:pPr>
              <w:widowControl/>
              <w:spacing w:line="300" w:lineRule="atLeast"/>
              <w:jc w:val="left"/>
              <w:rPr>
                <w:rFonts w:ascii="Times New Roman" w:eastAsia="Segoe UI" w:hAnsi="Times New Roman" w:cs="Times New Roman"/>
                <w:color w:val="0F1115"/>
                <w:sz w:val="20"/>
                <w:szCs w:val="20"/>
              </w:rPr>
            </w:pPr>
            <w:r w:rsidRPr="006566E0">
              <w:rPr>
                <w:rFonts w:ascii="Times New Roman" w:eastAsia="Segoe UI" w:hAnsi="Times New Roman" w:cs="Times New Roman"/>
                <w:color w:val="0F1115"/>
                <w:kern w:val="0"/>
                <w:sz w:val="20"/>
                <w:szCs w:val="20"/>
                <w:lang w:bidi="ar"/>
              </w:rPr>
              <w:t>Per RECIST v1.1:</w:t>
            </w:r>
            <w:r w:rsidRPr="006566E0">
              <w:rPr>
                <w:rFonts w:ascii="Times New Roman" w:eastAsia="Segoe UI" w:hAnsi="Times New Roman" w:cs="Times New Roman"/>
                <w:color w:val="0F1115"/>
                <w:kern w:val="0"/>
                <w:sz w:val="20"/>
                <w:szCs w:val="20"/>
                <w:lang w:bidi="ar"/>
              </w:rPr>
              <w:br/>
              <w:t>• Objective Response Rate (ORR): Proportion of patients achieving complete response (CR) or partial response (PR).</w:t>
            </w:r>
            <w:r w:rsidRPr="006566E0">
              <w:rPr>
                <w:rFonts w:ascii="Times New Roman" w:eastAsia="Segoe UI" w:hAnsi="Times New Roman" w:cs="Times New Roman"/>
                <w:color w:val="0F1115"/>
                <w:kern w:val="0"/>
                <w:sz w:val="20"/>
                <w:szCs w:val="20"/>
                <w:lang w:bidi="ar"/>
              </w:rPr>
              <w:br/>
              <w:t>• Disease Control Rate (DCR): Proportion of patients achieving CR, PR, or stable disease (SD).</w:t>
            </w:r>
          </w:p>
        </w:tc>
      </w:tr>
      <w:tr w:rsidR="00256EA9" w:rsidRPr="006566E0" w14:paraId="4E50AAA8" w14:textId="77777777" w:rsidTr="0086678B">
        <w:tc>
          <w:tcPr>
            <w:tcW w:w="0" w:type="auto"/>
            <w:shd w:val="clear" w:color="auto" w:fill="FFFFFF"/>
            <w:tcMar>
              <w:top w:w="120" w:type="dxa"/>
              <w:left w:w="0" w:type="dxa"/>
              <w:bottom w:w="120" w:type="dxa"/>
              <w:right w:w="192" w:type="dxa"/>
            </w:tcMar>
            <w:vAlign w:val="center"/>
          </w:tcPr>
          <w:p w14:paraId="74B3A179" w14:textId="77777777" w:rsidR="00256EA9" w:rsidRPr="006566E0" w:rsidRDefault="00237E63">
            <w:pPr>
              <w:widowControl/>
              <w:spacing w:line="300" w:lineRule="atLeast"/>
              <w:jc w:val="center"/>
              <w:rPr>
                <w:rFonts w:ascii="Times New Roman" w:eastAsia="Segoe UI" w:hAnsi="Times New Roman" w:cs="Times New Roman"/>
                <w:b/>
                <w:bCs/>
                <w:color w:val="0F1115"/>
                <w:sz w:val="22"/>
                <w:szCs w:val="22"/>
              </w:rPr>
            </w:pPr>
            <w:r w:rsidRPr="006566E0">
              <w:rPr>
                <w:rStyle w:val="a3"/>
                <w:rFonts w:ascii="Times New Roman" w:eastAsia="Segoe UI" w:hAnsi="Times New Roman" w:cs="Times New Roman"/>
                <w:bCs/>
                <w:color w:val="0F1115"/>
                <w:kern w:val="0"/>
                <w:sz w:val="22"/>
                <w:szCs w:val="22"/>
                <w:lang w:bidi="ar"/>
              </w:rPr>
              <w:t>Secondary Efficacy Endpoints</w:t>
            </w:r>
          </w:p>
        </w:tc>
        <w:tc>
          <w:tcPr>
            <w:tcW w:w="0" w:type="auto"/>
            <w:shd w:val="clear" w:color="auto" w:fill="FFFFFF"/>
            <w:tcMar>
              <w:top w:w="120" w:type="dxa"/>
              <w:left w:w="192" w:type="dxa"/>
              <w:bottom w:w="120" w:type="dxa"/>
              <w:right w:w="0" w:type="dxa"/>
            </w:tcMar>
            <w:vAlign w:val="center"/>
          </w:tcPr>
          <w:p w14:paraId="62BE9635" w14:textId="30D501C8" w:rsidR="00256EA9" w:rsidRPr="006566E0" w:rsidRDefault="00237E63">
            <w:pPr>
              <w:widowControl/>
              <w:spacing w:line="300" w:lineRule="atLeast"/>
              <w:jc w:val="left"/>
              <w:rPr>
                <w:rFonts w:ascii="Times New Roman" w:eastAsia="Segoe UI" w:hAnsi="Times New Roman" w:cs="Times New Roman"/>
                <w:color w:val="0F1115"/>
                <w:sz w:val="20"/>
                <w:szCs w:val="20"/>
              </w:rPr>
            </w:pPr>
            <w:r w:rsidRPr="006566E0">
              <w:rPr>
                <w:rFonts w:ascii="Times New Roman" w:eastAsia="Segoe UI" w:hAnsi="Times New Roman" w:cs="Times New Roman"/>
                <w:color w:val="0F1115"/>
                <w:kern w:val="0"/>
                <w:sz w:val="20"/>
                <w:szCs w:val="20"/>
                <w:lang w:bidi="ar"/>
              </w:rPr>
              <w:t xml:space="preserve">• Progression-Free Survival (PFS): Time from </w:t>
            </w:r>
            <w:r w:rsidR="00344E43" w:rsidRPr="006566E0">
              <w:rPr>
                <w:rFonts w:ascii="Times New Roman" w:eastAsia="Segoe UI" w:hAnsi="Times New Roman" w:cs="Times New Roman" w:hint="eastAsia"/>
                <w:color w:val="0F1115"/>
                <w:kern w:val="0"/>
                <w:sz w:val="20"/>
                <w:szCs w:val="20"/>
                <w:lang w:bidi="ar"/>
              </w:rPr>
              <w:t>infusion</w:t>
            </w:r>
            <w:r w:rsidRPr="006566E0">
              <w:rPr>
                <w:rFonts w:ascii="Times New Roman" w:eastAsia="Segoe UI" w:hAnsi="Times New Roman" w:cs="Times New Roman"/>
                <w:color w:val="0F1115"/>
                <w:kern w:val="0"/>
                <w:sz w:val="20"/>
                <w:szCs w:val="20"/>
                <w:lang w:bidi="ar"/>
              </w:rPr>
              <w:t xml:space="preserve"> to objective disease progression or death from any cause.</w:t>
            </w:r>
            <w:r w:rsidRPr="006566E0">
              <w:rPr>
                <w:rFonts w:ascii="Times New Roman" w:eastAsia="Segoe UI" w:hAnsi="Times New Roman" w:cs="Times New Roman"/>
                <w:color w:val="0F1115"/>
                <w:kern w:val="0"/>
                <w:sz w:val="20"/>
                <w:szCs w:val="20"/>
                <w:lang w:bidi="ar"/>
              </w:rPr>
              <w:br/>
              <w:t>• Duration of Response (DOR): Time from first documented response to disease progression.</w:t>
            </w:r>
            <w:r w:rsidRPr="006566E0">
              <w:rPr>
                <w:rFonts w:ascii="Times New Roman" w:eastAsia="Segoe UI" w:hAnsi="Times New Roman" w:cs="Times New Roman"/>
                <w:color w:val="0F1115"/>
                <w:kern w:val="0"/>
                <w:sz w:val="20"/>
                <w:szCs w:val="20"/>
                <w:lang w:bidi="ar"/>
              </w:rPr>
              <w:br/>
              <w:t>• Overall Survival (OS): Time from enrollment to death from any cause.</w:t>
            </w:r>
          </w:p>
        </w:tc>
      </w:tr>
      <w:tr w:rsidR="00256EA9" w:rsidRPr="006566E0" w14:paraId="3D6698FC" w14:textId="77777777" w:rsidTr="0086678B">
        <w:tc>
          <w:tcPr>
            <w:tcW w:w="0" w:type="auto"/>
            <w:shd w:val="clear" w:color="auto" w:fill="FFFFFF"/>
            <w:tcMar>
              <w:top w:w="120" w:type="dxa"/>
              <w:left w:w="0" w:type="dxa"/>
              <w:bottom w:w="120" w:type="dxa"/>
              <w:right w:w="192" w:type="dxa"/>
            </w:tcMar>
            <w:vAlign w:val="center"/>
          </w:tcPr>
          <w:p w14:paraId="4E888BCF" w14:textId="77777777" w:rsidR="00256EA9" w:rsidRPr="006566E0" w:rsidRDefault="00237E63">
            <w:pPr>
              <w:widowControl/>
              <w:spacing w:line="300" w:lineRule="atLeast"/>
              <w:jc w:val="center"/>
              <w:rPr>
                <w:rFonts w:ascii="Times New Roman" w:eastAsia="Segoe UI" w:hAnsi="Times New Roman" w:cs="Times New Roman"/>
                <w:b/>
                <w:bCs/>
                <w:color w:val="0F1115"/>
                <w:sz w:val="22"/>
                <w:szCs w:val="22"/>
              </w:rPr>
            </w:pPr>
            <w:r w:rsidRPr="006566E0">
              <w:rPr>
                <w:rStyle w:val="a3"/>
                <w:rFonts w:ascii="Times New Roman" w:eastAsia="Segoe UI" w:hAnsi="Times New Roman" w:cs="Times New Roman"/>
                <w:bCs/>
                <w:color w:val="0F1115"/>
                <w:kern w:val="0"/>
                <w:sz w:val="22"/>
                <w:szCs w:val="22"/>
                <w:lang w:bidi="ar"/>
              </w:rPr>
              <w:t>Safety Endpoints</w:t>
            </w:r>
          </w:p>
        </w:tc>
        <w:tc>
          <w:tcPr>
            <w:tcW w:w="0" w:type="auto"/>
            <w:shd w:val="clear" w:color="auto" w:fill="FFFFFF"/>
            <w:tcMar>
              <w:top w:w="120" w:type="dxa"/>
              <w:left w:w="192" w:type="dxa"/>
              <w:bottom w:w="120" w:type="dxa"/>
              <w:right w:w="0" w:type="dxa"/>
            </w:tcMar>
            <w:vAlign w:val="center"/>
          </w:tcPr>
          <w:p w14:paraId="0D527FD4" w14:textId="77777777" w:rsidR="00256EA9" w:rsidRPr="006566E0" w:rsidRDefault="00237E63">
            <w:pPr>
              <w:widowControl/>
              <w:spacing w:line="300" w:lineRule="atLeast"/>
              <w:jc w:val="left"/>
              <w:rPr>
                <w:rFonts w:ascii="Times New Roman" w:eastAsia="Segoe UI" w:hAnsi="Times New Roman" w:cs="Times New Roman"/>
                <w:color w:val="0F1115"/>
                <w:sz w:val="20"/>
                <w:szCs w:val="20"/>
              </w:rPr>
            </w:pPr>
            <w:r w:rsidRPr="006566E0">
              <w:rPr>
                <w:rFonts w:ascii="Times New Roman" w:eastAsia="Segoe UI" w:hAnsi="Times New Roman" w:cs="Times New Roman"/>
                <w:color w:val="0F1115"/>
                <w:kern w:val="0"/>
                <w:sz w:val="20"/>
                <w:szCs w:val="20"/>
                <w:lang w:bidi="ar"/>
              </w:rPr>
              <w:t>Incidence, severity, frequency, and relationship to study drug of all adverse events (AEs) during the study.</w:t>
            </w:r>
          </w:p>
        </w:tc>
      </w:tr>
      <w:tr w:rsidR="00256EA9" w:rsidRPr="006566E0" w14:paraId="3620E25E" w14:textId="77777777" w:rsidTr="0086678B">
        <w:tc>
          <w:tcPr>
            <w:tcW w:w="0" w:type="auto"/>
            <w:shd w:val="clear" w:color="auto" w:fill="FFFFFF"/>
            <w:tcMar>
              <w:top w:w="120" w:type="dxa"/>
              <w:left w:w="0" w:type="dxa"/>
              <w:bottom w:w="120" w:type="dxa"/>
              <w:right w:w="192" w:type="dxa"/>
            </w:tcMar>
            <w:vAlign w:val="center"/>
          </w:tcPr>
          <w:p w14:paraId="7F9ECD8F" w14:textId="77777777" w:rsidR="00256EA9" w:rsidRPr="006566E0" w:rsidRDefault="00237E63">
            <w:pPr>
              <w:widowControl/>
              <w:spacing w:line="300" w:lineRule="atLeast"/>
              <w:jc w:val="center"/>
              <w:rPr>
                <w:rFonts w:ascii="Times New Roman" w:eastAsia="Segoe UI" w:hAnsi="Times New Roman" w:cs="Times New Roman"/>
                <w:b/>
                <w:bCs/>
                <w:color w:val="0F1115"/>
                <w:sz w:val="22"/>
                <w:szCs w:val="22"/>
              </w:rPr>
            </w:pPr>
            <w:r w:rsidRPr="006566E0">
              <w:rPr>
                <w:rStyle w:val="a3"/>
                <w:rFonts w:ascii="Times New Roman" w:eastAsia="Segoe UI" w:hAnsi="Times New Roman" w:cs="Times New Roman"/>
                <w:bCs/>
                <w:color w:val="0F1115"/>
                <w:kern w:val="0"/>
                <w:sz w:val="22"/>
                <w:szCs w:val="22"/>
                <w:lang w:bidi="ar"/>
              </w:rPr>
              <w:t>Study Timeline</w:t>
            </w:r>
          </w:p>
        </w:tc>
        <w:tc>
          <w:tcPr>
            <w:tcW w:w="0" w:type="auto"/>
            <w:shd w:val="clear" w:color="auto" w:fill="FFFFFF"/>
            <w:tcMar>
              <w:top w:w="120" w:type="dxa"/>
              <w:left w:w="192" w:type="dxa"/>
              <w:bottom w:w="120" w:type="dxa"/>
              <w:right w:w="0" w:type="dxa"/>
            </w:tcMar>
            <w:vAlign w:val="center"/>
          </w:tcPr>
          <w:p w14:paraId="5527853C" w14:textId="77777777" w:rsidR="00256EA9" w:rsidRPr="006566E0" w:rsidRDefault="00237E63">
            <w:pPr>
              <w:widowControl/>
              <w:spacing w:line="300" w:lineRule="atLeast"/>
              <w:jc w:val="left"/>
              <w:rPr>
                <w:rFonts w:ascii="Times New Roman" w:eastAsia="Segoe UI" w:hAnsi="Times New Roman" w:cs="Times New Roman"/>
                <w:color w:val="0F1115"/>
                <w:sz w:val="20"/>
                <w:szCs w:val="20"/>
              </w:rPr>
            </w:pPr>
            <w:r w:rsidRPr="006566E0">
              <w:rPr>
                <w:rFonts w:ascii="Times New Roman" w:eastAsia="Segoe UI" w:hAnsi="Times New Roman" w:cs="Times New Roman"/>
                <w:color w:val="0F1115"/>
                <w:kern w:val="0"/>
                <w:sz w:val="20"/>
                <w:szCs w:val="20"/>
                <w:lang w:bidi="ar"/>
              </w:rPr>
              <w:t>A minimum 7-day interval is required between subjects within a cohort, and a 28-day DLT observation period is required between cohorts. Total estimated study duration is 3 years.</w:t>
            </w:r>
          </w:p>
        </w:tc>
      </w:tr>
      <w:tr w:rsidR="00256EA9" w:rsidRPr="006566E0" w14:paraId="22625720" w14:textId="77777777" w:rsidTr="0086678B">
        <w:tc>
          <w:tcPr>
            <w:tcW w:w="0" w:type="auto"/>
            <w:shd w:val="clear" w:color="auto" w:fill="FFFFFF"/>
            <w:tcMar>
              <w:top w:w="120" w:type="dxa"/>
              <w:left w:w="0" w:type="dxa"/>
              <w:bottom w:w="120" w:type="dxa"/>
              <w:right w:w="192" w:type="dxa"/>
            </w:tcMar>
            <w:vAlign w:val="center"/>
          </w:tcPr>
          <w:p w14:paraId="3B369212" w14:textId="77777777" w:rsidR="00256EA9" w:rsidRPr="006566E0" w:rsidRDefault="00237E63">
            <w:pPr>
              <w:widowControl/>
              <w:spacing w:line="300" w:lineRule="atLeast"/>
              <w:jc w:val="center"/>
              <w:rPr>
                <w:rFonts w:ascii="Times New Roman" w:eastAsia="Segoe UI" w:hAnsi="Times New Roman" w:cs="Times New Roman"/>
                <w:b/>
                <w:bCs/>
                <w:color w:val="0F1115"/>
                <w:sz w:val="22"/>
                <w:szCs w:val="22"/>
              </w:rPr>
            </w:pPr>
            <w:r w:rsidRPr="006566E0">
              <w:rPr>
                <w:rStyle w:val="a3"/>
                <w:rFonts w:ascii="Times New Roman" w:eastAsia="Segoe UI" w:hAnsi="Times New Roman" w:cs="Times New Roman"/>
                <w:bCs/>
                <w:color w:val="0F1115"/>
                <w:kern w:val="0"/>
                <w:sz w:val="22"/>
                <w:szCs w:val="22"/>
                <w:lang w:bidi="ar"/>
              </w:rPr>
              <w:t>Statistical Analysis</w:t>
            </w:r>
          </w:p>
        </w:tc>
        <w:tc>
          <w:tcPr>
            <w:tcW w:w="0" w:type="auto"/>
            <w:shd w:val="clear" w:color="auto" w:fill="FFFFFF"/>
            <w:tcMar>
              <w:top w:w="120" w:type="dxa"/>
              <w:left w:w="192" w:type="dxa"/>
              <w:bottom w:w="120" w:type="dxa"/>
              <w:right w:w="0" w:type="dxa"/>
            </w:tcMar>
            <w:vAlign w:val="center"/>
          </w:tcPr>
          <w:p w14:paraId="575797D3" w14:textId="462376DF" w:rsidR="00256EA9" w:rsidRPr="006566E0" w:rsidRDefault="00237E63">
            <w:pPr>
              <w:widowControl/>
              <w:spacing w:line="300" w:lineRule="atLeast"/>
              <w:jc w:val="left"/>
              <w:rPr>
                <w:rFonts w:ascii="Times New Roman" w:eastAsia="Segoe UI" w:hAnsi="Times New Roman" w:cs="Times New Roman"/>
                <w:color w:val="0F1115"/>
                <w:sz w:val="20"/>
                <w:szCs w:val="20"/>
              </w:rPr>
            </w:pPr>
            <w:r w:rsidRPr="006566E0">
              <w:rPr>
                <w:rStyle w:val="a3"/>
                <w:rFonts w:ascii="Times New Roman" w:eastAsia="Segoe UI" w:hAnsi="Times New Roman" w:cs="Times New Roman"/>
                <w:b w:val="0"/>
                <w:color w:val="0F1115"/>
                <w:kern w:val="0"/>
                <w:sz w:val="20"/>
                <w:szCs w:val="20"/>
                <w:lang w:bidi="ar"/>
              </w:rPr>
              <w:t>General Principles:</w:t>
            </w:r>
            <w:r w:rsidRPr="006566E0">
              <w:rPr>
                <w:rFonts w:ascii="Times New Roman" w:eastAsia="Segoe UI" w:hAnsi="Times New Roman" w:cs="Times New Roman"/>
                <w:color w:val="0F1115"/>
                <w:kern w:val="0"/>
                <w:sz w:val="20"/>
                <w:szCs w:val="20"/>
                <w:lang w:bidi="ar"/>
              </w:rPr>
              <w:t> SAS® (version 9.2 or higher) will be used for statistical analysis. Descriptive statistics will be used for baseline characteristics, safety, and efficacy data. Time-to-event endpoints (PFS, OS) will be analyzed using the Kaplan-Meier method.</w:t>
            </w:r>
            <w:r w:rsidRPr="006566E0">
              <w:rPr>
                <w:rFonts w:ascii="Times New Roman" w:eastAsia="Segoe UI" w:hAnsi="Times New Roman" w:cs="Times New Roman"/>
                <w:color w:val="0F1115"/>
                <w:kern w:val="0"/>
                <w:sz w:val="20"/>
                <w:szCs w:val="20"/>
                <w:lang w:bidi="ar"/>
              </w:rPr>
              <w:br/>
            </w:r>
            <w:r w:rsidRPr="006566E0">
              <w:rPr>
                <w:rStyle w:val="a3"/>
                <w:rFonts w:ascii="Times New Roman" w:eastAsia="Segoe UI" w:hAnsi="Times New Roman" w:cs="Times New Roman"/>
                <w:b w:val="0"/>
                <w:color w:val="0F1115"/>
                <w:kern w:val="0"/>
                <w:sz w:val="20"/>
                <w:szCs w:val="20"/>
                <w:lang w:bidi="ar"/>
              </w:rPr>
              <w:t>Analysis Sets:</w:t>
            </w:r>
            <w:r w:rsidRPr="006566E0">
              <w:rPr>
                <w:rFonts w:ascii="Times New Roman" w:eastAsia="Segoe UI" w:hAnsi="Times New Roman" w:cs="Times New Roman"/>
                <w:color w:val="0F1115"/>
                <w:kern w:val="0"/>
                <w:sz w:val="20"/>
                <w:szCs w:val="20"/>
                <w:lang w:bidi="ar"/>
              </w:rPr>
              <w:br/>
              <w:t>• Dose-Limiting Toxicity Set (DLTS): Subjects who received study drug and completed the 28-day DLT observation period in the first treatment cycle.</w:t>
            </w:r>
            <w:r w:rsidRPr="006566E0">
              <w:rPr>
                <w:rFonts w:ascii="Times New Roman" w:eastAsia="Segoe UI" w:hAnsi="Times New Roman" w:cs="Times New Roman"/>
                <w:color w:val="0F1115"/>
                <w:kern w:val="0"/>
                <w:sz w:val="20"/>
                <w:szCs w:val="20"/>
                <w:lang w:bidi="ar"/>
              </w:rPr>
              <w:br/>
              <w:t>• Full Analysis Set (FAS): All enrolled subjects who received at least one dose of study drug, used for baseline and efficacy analyses.</w:t>
            </w:r>
            <w:r w:rsidRPr="006566E0">
              <w:rPr>
                <w:rFonts w:ascii="Times New Roman" w:eastAsia="Segoe UI" w:hAnsi="Times New Roman" w:cs="Times New Roman"/>
                <w:color w:val="0F1115"/>
                <w:kern w:val="0"/>
                <w:sz w:val="20"/>
                <w:szCs w:val="20"/>
                <w:lang w:bidi="ar"/>
              </w:rPr>
              <w:br/>
              <w:t>• Safety Set (SS): All subjects who received at least one dose of study drug.</w:t>
            </w:r>
            <w:r w:rsidRPr="006566E0">
              <w:rPr>
                <w:rFonts w:ascii="Times New Roman" w:eastAsia="Segoe UI" w:hAnsi="Times New Roman" w:cs="Times New Roman"/>
                <w:color w:val="0F1115"/>
                <w:kern w:val="0"/>
                <w:sz w:val="20"/>
                <w:szCs w:val="20"/>
                <w:lang w:bidi="ar"/>
              </w:rPr>
              <w:br/>
              <w:t>A separate statistical analysis plan (SAP) will be finalized before database lock.</w:t>
            </w:r>
          </w:p>
        </w:tc>
      </w:tr>
    </w:tbl>
    <w:p w14:paraId="581FEC9D" w14:textId="77777777" w:rsidR="00256EA9" w:rsidRPr="006566E0" w:rsidRDefault="00256EA9">
      <w:pPr>
        <w:rPr>
          <w:rFonts w:ascii="Times New Roman" w:hAnsi="Times New Roman" w:cs="Times New Roman"/>
          <w:sz w:val="22"/>
          <w:szCs w:val="22"/>
        </w:rPr>
      </w:pPr>
    </w:p>
    <w:p w14:paraId="7E706054" w14:textId="77777777" w:rsidR="00256EA9" w:rsidRPr="006566E0" w:rsidRDefault="00237E63" w:rsidP="00807C5C">
      <w:pPr>
        <w:spacing w:line="360" w:lineRule="auto"/>
        <w:rPr>
          <w:rFonts w:ascii="Times New Roman" w:hAnsi="Times New Roman" w:cs="Times New Roman"/>
          <w:b/>
          <w:bCs/>
          <w:sz w:val="22"/>
          <w:szCs w:val="22"/>
        </w:rPr>
      </w:pPr>
      <w:r w:rsidRPr="006566E0">
        <w:rPr>
          <w:rFonts w:ascii="Times New Roman" w:hAnsi="Times New Roman" w:cs="Times New Roman"/>
          <w:b/>
          <w:bCs/>
          <w:sz w:val="22"/>
          <w:szCs w:val="22"/>
        </w:rPr>
        <w:t>Study Objective</w:t>
      </w:r>
    </w:p>
    <w:p w14:paraId="28ABA2C0" w14:textId="77777777"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sz w:val="22"/>
          <w:szCs w:val="22"/>
        </w:rPr>
        <w:t xml:space="preserve">   1. Primary Objective</w:t>
      </w:r>
    </w:p>
    <w:p w14:paraId="4C5C3750" w14:textId="78BC329F"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sz w:val="22"/>
          <w:szCs w:val="22"/>
        </w:rPr>
        <w:t xml:space="preserve">      To investigate the maximum tolerated dose (MTD) and dose-limiting toxicities (DLTs) </w:t>
      </w:r>
      <w:r w:rsidRPr="006566E0">
        <w:rPr>
          <w:rFonts w:ascii="Times New Roman" w:hAnsi="Times New Roman" w:cs="Times New Roman"/>
          <w:sz w:val="22"/>
          <w:szCs w:val="22"/>
        </w:rPr>
        <w:lastRenderedPageBreak/>
        <w:t>of Claudin18.2-targeted umbilical cord blood-derived CAR-NK cells (CB CAR-NK18</w:t>
      </w:r>
      <w:r w:rsidR="00CE6A9B" w:rsidRPr="006566E0">
        <w:rPr>
          <w:rFonts w:ascii="Times New Roman" w:hAnsi="Times New Roman" w:cs="Times New Roman" w:hint="eastAsia"/>
          <w:sz w:val="22"/>
          <w:szCs w:val="22"/>
        </w:rPr>
        <w:t>.</w:t>
      </w:r>
      <w:r w:rsidRPr="006566E0">
        <w:rPr>
          <w:rFonts w:ascii="Times New Roman" w:hAnsi="Times New Roman" w:cs="Times New Roman"/>
          <w:sz w:val="22"/>
          <w:szCs w:val="22"/>
        </w:rPr>
        <w:t>2) in patients with advanced gastric cancer and advanced pancreatic cancer.</w:t>
      </w:r>
    </w:p>
    <w:p w14:paraId="6AFFBC5E" w14:textId="77777777"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sz w:val="22"/>
          <w:szCs w:val="22"/>
        </w:rPr>
        <w:t xml:space="preserve">   2. Secondary Objectives</w:t>
      </w:r>
    </w:p>
    <w:p w14:paraId="4BD79D82" w14:textId="3820ECBB"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sz w:val="22"/>
          <w:szCs w:val="22"/>
        </w:rPr>
        <w:t xml:space="preserve">      1. To evaluate the efficacy of CB CAR-NK18</w:t>
      </w:r>
      <w:r w:rsidR="004D0867">
        <w:rPr>
          <w:rFonts w:ascii="Times New Roman" w:hAnsi="Times New Roman" w:cs="Times New Roman" w:hint="eastAsia"/>
          <w:sz w:val="22"/>
          <w:szCs w:val="22"/>
        </w:rPr>
        <w:t>.</w:t>
      </w:r>
      <w:r w:rsidRPr="006566E0">
        <w:rPr>
          <w:rFonts w:ascii="Times New Roman" w:hAnsi="Times New Roman" w:cs="Times New Roman"/>
          <w:sz w:val="22"/>
          <w:szCs w:val="22"/>
        </w:rPr>
        <w:t>2 in patients with advanced gastric cancer and advanced pancreatic cancer, including objective response rate (ORR), disease control rate (DCR), progression-free survival (PFS), overall survival (OS), and duration of response (DOR).</w:t>
      </w:r>
    </w:p>
    <w:p w14:paraId="71BCE907" w14:textId="28752470"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sz w:val="22"/>
          <w:szCs w:val="22"/>
        </w:rPr>
        <w:t xml:space="preserve">      2. To assess the expansion and persistence of CAR-NK cells in the peripheral blood of patients.</w:t>
      </w:r>
    </w:p>
    <w:p w14:paraId="5E5FCF14" w14:textId="77777777" w:rsidR="00256EA9" w:rsidRPr="006566E0" w:rsidRDefault="00237E63" w:rsidP="00807C5C">
      <w:pPr>
        <w:spacing w:line="360" w:lineRule="auto"/>
        <w:rPr>
          <w:rFonts w:ascii="Times New Roman" w:hAnsi="Times New Roman" w:cs="Times New Roman"/>
          <w:b/>
          <w:bCs/>
          <w:sz w:val="22"/>
          <w:szCs w:val="22"/>
        </w:rPr>
      </w:pPr>
      <w:r w:rsidRPr="006566E0">
        <w:rPr>
          <w:rFonts w:ascii="Times New Roman" w:hAnsi="Times New Roman" w:cs="Times New Roman"/>
          <w:b/>
          <w:bCs/>
          <w:sz w:val="22"/>
          <w:szCs w:val="22"/>
        </w:rPr>
        <w:t>Study Background</w:t>
      </w:r>
    </w:p>
    <w:p w14:paraId="7686618A" w14:textId="77777777"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sz w:val="22"/>
          <w:szCs w:val="22"/>
        </w:rPr>
        <w:t xml:space="preserve">   1. Current Status of Advanced Gastric and Pancreatic Cancer Treatment</w:t>
      </w:r>
    </w:p>
    <w:p w14:paraId="08376C12" w14:textId="77777777"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sz w:val="22"/>
          <w:szCs w:val="22"/>
        </w:rPr>
        <w:t xml:space="preserve">      Cancer is a leading cause of death worldwide. Digestive system tumors, including gastric and pancreatic cancers, account for a significant proportion of cancer burden in China. The prognosis for advanced stages of these cancers remains poor despite standard chemotherapy and targeted therapies, highlighting the need for novel treatment approaches.</w:t>
      </w:r>
    </w:p>
    <w:p w14:paraId="59D4E621" w14:textId="77777777"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sz w:val="22"/>
          <w:szCs w:val="22"/>
        </w:rPr>
        <w:t xml:space="preserve">   2. CAR-NK Cell Therapy</w:t>
      </w:r>
    </w:p>
    <w:p w14:paraId="3CBD7BDA" w14:textId="69256FA7"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sz w:val="22"/>
          <w:szCs w:val="22"/>
        </w:rPr>
        <w:t xml:space="preserve">      Chimeric antigen receptor (CAR)-engineered natural killer (NK) cells represent a promising "off-the-shelf" cellular immunotherapy. Compared to CAR-T cells, CAR-NK cells offer potential advantages such as a lower risk of cytokine release syndrome (CRS), graft-versus-host disease (G</w:t>
      </w:r>
      <w:r w:rsidR="006A66A1" w:rsidRPr="006566E0">
        <w:rPr>
          <w:rFonts w:ascii="Times New Roman" w:hAnsi="Times New Roman" w:cs="Times New Roman" w:hint="eastAsia"/>
          <w:sz w:val="22"/>
          <w:szCs w:val="22"/>
        </w:rPr>
        <w:t>v</w:t>
      </w:r>
      <w:r w:rsidRPr="006566E0">
        <w:rPr>
          <w:rFonts w:ascii="Times New Roman" w:hAnsi="Times New Roman" w:cs="Times New Roman"/>
          <w:sz w:val="22"/>
          <w:szCs w:val="22"/>
        </w:rPr>
        <w:t>HD), and the ability to kill target cells through both CAR-dependent and innate immune mechanisms.</w:t>
      </w:r>
    </w:p>
    <w:p w14:paraId="4129FE60" w14:textId="77777777"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sz w:val="22"/>
          <w:szCs w:val="22"/>
        </w:rPr>
        <w:t xml:space="preserve">   3. Claudin18.2 as a Target in Solid Tumors</w:t>
      </w:r>
    </w:p>
    <w:p w14:paraId="066341FD" w14:textId="77777777"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sz w:val="22"/>
          <w:szCs w:val="22"/>
        </w:rPr>
        <w:t xml:space="preserve">      Claudin18.2 is a tight junction protein selectively expressed on the membrane of various epithelial-derived solid tumors, including gastric and pancreatic cancers, with limited expression in normal tissues, making it an attractive therapeutic target.</w:t>
      </w:r>
    </w:p>
    <w:p w14:paraId="626B3285" w14:textId="77777777"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sz w:val="22"/>
          <w:szCs w:val="22"/>
        </w:rPr>
        <w:t xml:space="preserve">   4. Rationale for the Trial</w:t>
      </w:r>
    </w:p>
    <w:p w14:paraId="187D8E4F" w14:textId="48BD4AB4" w:rsidR="00256EA9" w:rsidRPr="006566E0" w:rsidRDefault="00237E63" w:rsidP="00807C5C">
      <w:pPr>
        <w:numPr>
          <w:ilvl w:val="0"/>
          <w:numId w:val="1"/>
        </w:numPr>
        <w:spacing w:line="360" w:lineRule="auto"/>
        <w:rPr>
          <w:rFonts w:ascii="Times New Roman" w:hAnsi="Times New Roman" w:cs="Times New Roman"/>
          <w:sz w:val="22"/>
          <w:szCs w:val="22"/>
        </w:rPr>
      </w:pPr>
      <w:r w:rsidRPr="006566E0">
        <w:rPr>
          <w:rFonts w:ascii="Times New Roman" w:hAnsi="Times New Roman" w:cs="Times New Roman"/>
          <w:sz w:val="22"/>
          <w:szCs w:val="22"/>
        </w:rPr>
        <w:t>Preclinical and Animal Study Data: Our team has constructed a lentiviral vector expressing a Claudin18.2-targeted CAR incorporating an IL-15 expression element. In vitro studies demonstrated specific activation and cytotoxicity of the resulting CB CAR-NK18</w:t>
      </w:r>
      <w:r w:rsidR="007D5285" w:rsidRPr="006566E0">
        <w:rPr>
          <w:rFonts w:ascii="Times New Roman" w:hAnsi="Times New Roman" w:cs="Times New Roman" w:hint="eastAsia"/>
          <w:sz w:val="22"/>
          <w:szCs w:val="22"/>
        </w:rPr>
        <w:t>.</w:t>
      </w:r>
      <w:r w:rsidRPr="006566E0">
        <w:rPr>
          <w:rFonts w:ascii="Times New Roman" w:hAnsi="Times New Roman" w:cs="Times New Roman"/>
          <w:sz w:val="22"/>
          <w:szCs w:val="22"/>
        </w:rPr>
        <w:t xml:space="preserve">2 cells against Claudin18.2-positive tumor cell lines. In vivo studies in xenograft mouse models showed significant tumor growth inhibition following CB </w:t>
      </w:r>
      <w:r w:rsidRPr="006566E0">
        <w:rPr>
          <w:rFonts w:ascii="Times New Roman" w:hAnsi="Times New Roman" w:cs="Times New Roman"/>
          <w:sz w:val="22"/>
          <w:szCs w:val="22"/>
        </w:rPr>
        <w:lastRenderedPageBreak/>
        <w:t>CAR-NK18</w:t>
      </w:r>
      <w:r w:rsidR="007D5285" w:rsidRPr="006566E0">
        <w:rPr>
          <w:rFonts w:ascii="Times New Roman" w:hAnsi="Times New Roman" w:cs="Times New Roman" w:hint="eastAsia"/>
          <w:sz w:val="22"/>
          <w:szCs w:val="22"/>
        </w:rPr>
        <w:t>.</w:t>
      </w:r>
      <w:r w:rsidRPr="006566E0">
        <w:rPr>
          <w:rFonts w:ascii="Times New Roman" w:hAnsi="Times New Roman" w:cs="Times New Roman"/>
          <w:sz w:val="22"/>
          <w:szCs w:val="22"/>
        </w:rPr>
        <w:t>2 administration compared to controls.</w:t>
      </w:r>
    </w:p>
    <w:p w14:paraId="0D892E6F" w14:textId="511ECE16" w:rsidR="00256EA9" w:rsidRPr="006566E0" w:rsidRDefault="00237E63" w:rsidP="00807C5C">
      <w:pPr>
        <w:numPr>
          <w:ilvl w:val="0"/>
          <w:numId w:val="1"/>
        </w:numPr>
        <w:spacing w:line="360" w:lineRule="auto"/>
        <w:rPr>
          <w:rFonts w:ascii="Times New Roman" w:hAnsi="Times New Roman" w:cs="Times New Roman"/>
          <w:sz w:val="22"/>
          <w:szCs w:val="22"/>
        </w:rPr>
      </w:pPr>
      <w:r w:rsidRPr="006566E0">
        <w:rPr>
          <w:rFonts w:ascii="Times New Roman" w:hAnsi="Times New Roman" w:cs="Times New Roman"/>
          <w:sz w:val="22"/>
          <w:szCs w:val="22"/>
        </w:rPr>
        <w:t>Subject Selection: The trial targets patients with advanced gastric or pancreatic cancer who have exhausted or are intolerant to standard treatment options.</w:t>
      </w:r>
    </w:p>
    <w:p w14:paraId="511D5766" w14:textId="5E503C37" w:rsidR="00256EA9" w:rsidRPr="006566E0" w:rsidRDefault="00237E63" w:rsidP="00807C5C">
      <w:pPr>
        <w:numPr>
          <w:ilvl w:val="0"/>
          <w:numId w:val="1"/>
        </w:numPr>
        <w:spacing w:line="360" w:lineRule="auto"/>
        <w:rPr>
          <w:rFonts w:ascii="Times New Roman" w:hAnsi="Times New Roman" w:cs="Times New Roman"/>
          <w:sz w:val="22"/>
          <w:szCs w:val="22"/>
        </w:rPr>
      </w:pPr>
      <w:r w:rsidRPr="006566E0">
        <w:rPr>
          <w:rFonts w:ascii="Times New Roman" w:hAnsi="Times New Roman" w:cs="Times New Roman"/>
          <w:sz w:val="22"/>
          <w:szCs w:val="22"/>
        </w:rPr>
        <w:t>Dose and Administration Rationale:</w:t>
      </w:r>
      <w:r w:rsidR="000A1624" w:rsidRPr="006566E0">
        <w:rPr>
          <w:rFonts w:ascii="Times New Roman" w:hAnsi="Times New Roman" w:cs="Times New Roman" w:hint="eastAsia"/>
          <w:sz w:val="22"/>
          <w:szCs w:val="22"/>
        </w:rPr>
        <w:t xml:space="preserve"> </w:t>
      </w:r>
      <w:r w:rsidRPr="006566E0">
        <w:rPr>
          <w:rFonts w:ascii="Times New Roman" w:hAnsi="Times New Roman" w:cs="Times New Roman"/>
          <w:sz w:val="22"/>
          <w:szCs w:val="22"/>
        </w:rPr>
        <w:t>The starting dose and escalation scheme (2×10⁶, 8×10⁶, 1</w:t>
      </w:r>
      <w:r w:rsidR="000A1624" w:rsidRPr="006566E0">
        <w:rPr>
          <w:rFonts w:ascii="Times New Roman" w:hAnsi="Times New Roman" w:cs="Times New Roman" w:hint="eastAsia"/>
          <w:sz w:val="22"/>
          <w:szCs w:val="22"/>
        </w:rPr>
        <w:t>.</w:t>
      </w:r>
      <w:r w:rsidRPr="006566E0">
        <w:rPr>
          <w:rFonts w:ascii="Times New Roman" w:hAnsi="Times New Roman" w:cs="Times New Roman"/>
          <w:sz w:val="22"/>
          <w:szCs w:val="22"/>
        </w:rPr>
        <w:t>6×10</w:t>
      </w:r>
      <w:r w:rsidR="000A1624" w:rsidRPr="006566E0">
        <w:rPr>
          <w:rFonts w:ascii="Times New Roman" w:hAnsi="Times New Roman" w:cs="Times New Roman" w:hint="eastAsia"/>
          <w:sz w:val="22"/>
          <w:szCs w:val="22"/>
          <w:vertAlign w:val="superscript"/>
        </w:rPr>
        <w:t>7</w:t>
      </w:r>
      <w:r w:rsidRPr="006566E0">
        <w:rPr>
          <w:rFonts w:ascii="Times New Roman" w:hAnsi="Times New Roman" w:cs="Times New Roman"/>
          <w:sz w:val="22"/>
          <w:szCs w:val="22"/>
        </w:rPr>
        <w:t xml:space="preserve"> cells/kg per infusion, given three times) are based on published clinical experience with CAR-NK cell therapies, which have shown a favorable safety profile.</w:t>
      </w:r>
    </w:p>
    <w:p w14:paraId="7E9AC6FF" w14:textId="25D500C7" w:rsidR="00256EA9" w:rsidRPr="006566E0" w:rsidRDefault="00237E63" w:rsidP="00807C5C">
      <w:pPr>
        <w:numPr>
          <w:ilvl w:val="0"/>
          <w:numId w:val="1"/>
        </w:numPr>
        <w:spacing w:line="360" w:lineRule="auto"/>
        <w:rPr>
          <w:rFonts w:ascii="Times New Roman" w:hAnsi="Times New Roman" w:cs="Times New Roman"/>
          <w:sz w:val="22"/>
          <w:szCs w:val="22"/>
        </w:rPr>
      </w:pPr>
      <w:r w:rsidRPr="006566E0">
        <w:rPr>
          <w:rFonts w:ascii="Times New Roman" w:hAnsi="Times New Roman" w:cs="Times New Roman"/>
          <w:sz w:val="22"/>
          <w:szCs w:val="22"/>
        </w:rPr>
        <w:t>Study Endpoints:</w:t>
      </w:r>
      <w:r w:rsidR="000A1624" w:rsidRPr="006566E0">
        <w:rPr>
          <w:rFonts w:ascii="Times New Roman" w:hAnsi="Times New Roman" w:cs="Times New Roman" w:hint="eastAsia"/>
          <w:sz w:val="22"/>
          <w:szCs w:val="22"/>
        </w:rPr>
        <w:t xml:space="preserve"> </w:t>
      </w:r>
      <w:r w:rsidRPr="006566E0">
        <w:rPr>
          <w:rFonts w:ascii="Times New Roman" w:hAnsi="Times New Roman" w:cs="Times New Roman"/>
          <w:sz w:val="22"/>
          <w:szCs w:val="22"/>
        </w:rPr>
        <w:t>The primary endpoints are safety-focused (MTD, DLT). Secondary endpoints include preliminary efficacy (ORR, DCR, PFS, OS, DOR) and pharmacokinetics (CAR-NK expansion/persistence).</w:t>
      </w:r>
    </w:p>
    <w:p w14:paraId="61A3B998" w14:textId="563A294C" w:rsidR="000A1624" w:rsidRPr="006566E0" w:rsidRDefault="00237E63" w:rsidP="00807C5C">
      <w:pPr>
        <w:numPr>
          <w:ilvl w:val="0"/>
          <w:numId w:val="1"/>
        </w:numPr>
        <w:spacing w:line="360" w:lineRule="auto"/>
        <w:rPr>
          <w:rFonts w:ascii="Times New Roman" w:hAnsi="Times New Roman" w:cs="Times New Roman"/>
          <w:sz w:val="22"/>
          <w:szCs w:val="22"/>
        </w:rPr>
      </w:pPr>
      <w:r w:rsidRPr="006566E0">
        <w:rPr>
          <w:rFonts w:ascii="Times New Roman" w:hAnsi="Times New Roman" w:cs="Times New Roman"/>
          <w:sz w:val="22"/>
          <w:szCs w:val="22"/>
        </w:rPr>
        <w:t>Risks and Benefits: Potential risks include common infusion-related reactions (fever, chills), hematologic toxicity, and rare but serious events like severe CRS. Potential benefit includes tumor response. All subjects are covered by commercial insurance for study-related injuries.</w:t>
      </w:r>
    </w:p>
    <w:p w14:paraId="41355B67" w14:textId="77777777" w:rsidR="00256EA9" w:rsidRPr="006566E0" w:rsidRDefault="00237E63" w:rsidP="00807C5C">
      <w:pPr>
        <w:spacing w:line="360" w:lineRule="auto"/>
        <w:rPr>
          <w:rFonts w:ascii="Times New Roman" w:hAnsi="Times New Roman" w:cs="Times New Roman"/>
          <w:b/>
          <w:bCs/>
          <w:sz w:val="22"/>
          <w:szCs w:val="22"/>
        </w:rPr>
      </w:pPr>
      <w:r w:rsidRPr="006566E0">
        <w:rPr>
          <w:rFonts w:ascii="Times New Roman" w:hAnsi="Times New Roman" w:cs="Times New Roman"/>
          <w:b/>
          <w:bCs/>
          <w:sz w:val="22"/>
          <w:szCs w:val="22"/>
        </w:rPr>
        <w:t>Study Design</w:t>
      </w:r>
    </w:p>
    <w:p w14:paraId="46B521ED" w14:textId="16BD215E"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sz w:val="22"/>
          <w:szCs w:val="22"/>
        </w:rPr>
        <w:t>This is a Phase I, single-center, single-arm, open-label, dose-escalation study.</w:t>
      </w:r>
    </w:p>
    <w:p w14:paraId="7E51A794" w14:textId="77777777" w:rsidR="00256EA9" w:rsidRPr="006566E0" w:rsidRDefault="00237E63" w:rsidP="00807C5C">
      <w:pPr>
        <w:spacing w:line="360" w:lineRule="auto"/>
        <w:rPr>
          <w:rFonts w:ascii="Times New Roman" w:hAnsi="Times New Roman" w:cs="Times New Roman"/>
          <w:b/>
          <w:bCs/>
          <w:sz w:val="22"/>
          <w:szCs w:val="22"/>
        </w:rPr>
      </w:pPr>
      <w:r w:rsidRPr="006566E0">
        <w:rPr>
          <w:rFonts w:ascii="Times New Roman" w:hAnsi="Times New Roman" w:cs="Times New Roman"/>
          <w:b/>
          <w:bCs/>
          <w:sz w:val="22"/>
          <w:szCs w:val="22"/>
        </w:rPr>
        <w:t>Study Contents</w:t>
      </w:r>
    </w:p>
    <w:p w14:paraId="020C840A" w14:textId="77777777"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sz w:val="22"/>
          <w:szCs w:val="22"/>
        </w:rPr>
        <w:t xml:space="preserve">   1. Study Population: Patients with advanced gastric or pancreatic cancer who have failed or are intolerant to standard therapies.</w:t>
      </w:r>
    </w:p>
    <w:p w14:paraId="745E0A77" w14:textId="59EDD4BD"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sz w:val="22"/>
          <w:szCs w:val="22"/>
        </w:rPr>
        <w:t xml:space="preserve">   2. Sample Size: </w:t>
      </w:r>
      <w:r w:rsidR="00BA6D46" w:rsidRPr="006566E0">
        <w:rPr>
          <w:rFonts w:ascii="Times New Roman" w:hAnsi="Times New Roman" w:cs="Times New Roman" w:hint="eastAsia"/>
          <w:sz w:val="22"/>
          <w:szCs w:val="22"/>
        </w:rPr>
        <w:t>9-18</w:t>
      </w:r>
      <w:r w:rsidR="008751BF" w:rsidRPr="006566E0">
        <w:rPr>
          <w:rFonts w:ascii="Times New Roman" w:hAnsi="Times New Roman" w:cs="Times New Roman" w:hint="eastAsia"/>
          <w:sz w:val="22"/>
          <w:szCs w:val="22"/>
        </w:rPr>
        <w:t xml:space="preserve"> </w:t>
      </w:r>
      <w:r w:rsidRPr="006566E0">
        <w:rPr>
          <w:rFonts w:ascii="Times New Roman" w:hAnsi="Times New Roman" w:cs="Times New Roman"/>
          <w:sz w:val="22"/>
          <w:szCs w:val="22"/>
        </w:rPr>
        <w:t>subjects, based on the "3+3" dose-escalation design. No formal sample size calculation was performed.</w:t>
      </w:r>
    </w:p>
    <w:p w14:paraId="62CE962D" w14:textId="4D3BA350"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sz w:val="22"/>
          <w:szCs w:val="22"/>
        </w:rPr>
        <w:t xml:space="preserve">   3. Detailed Study Procedures: The study involves a screening period, lymphodepleting chemotherapy, three infusions of CB CAR-NK18</w:t>
      </w:r>
      <w:r w:rsidR="008050A3" w:rsidRPr="006566E0">
        <w:rPr>
          <w:rFonts w:ascii="Times New Roman" w:hAnsi="Times New Roman" w:cs="Times New Roman" w:hint="eastAsia"/>
          <w:sz w:val="22"/>
          <w:szCs w:val="22"/>
        </w:rPr>
        <w:t>.</w:t>
      </w:r>
      <w:r w:rsidRPr="006566E0">
        <w:rPr>
          <w:rFonts w:ascii="Times New Roman" w:hAnsi="Times New Roman" w:cs="Times New Roman"/>
          <w:sz w:val="22"/>
          <w:szCs w:val="22"/>
        </w:rPr>
        <w:t xml:space="preserve">2, a 28-day DLT observation period (inpatient), post-treatment safety follow-up visits </w:t>
      </w:r>
      <w:r w:rsidR="008858AC" w:rsidRPr="006566E0">
        <w:rPr>
          <w:rFonts w:ascii="Times New Roman" w:hAnsi="Times New Roman" w:cs="Times New Roman" w:hint="eastAsia"/>
          <w:sz w:val="22"/>
          <w:szCs w:val="22"/>
        </w:rPr>
        <w:t xml:space="preserve">every 8 weeks </w:t>
      </w:r>
      <w:r w:rsidRPr="006566E0">
        <w:rPr>
          <w:rFonts w:ascii="Times New Roman" w:hAnsi="Times New Roman" w:cs="Times New Roman"/>
          <w:sz w:val="22"/>
          <w:szCs w:val="22"/>
        </w:rPr>
        <w:t>and a long-term follow-up period for survival and disease status up to 24 months.</w:t>
      </w:r>
    </w:p>
    <w:p w14:paraId="0B5FEADA" w14:textId="77777777"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sz w:val="22"/>
          <w:szCs w:val="22"/>
        </w:rPr>
        <w:t xml:space="preserve">      Assessments include physical exams, vital signs, laboratory tests (hematology, chemistry, cytokines, CAR copy number), imaging for tumor response (RECIST v1.1), AE monitoring, and ECG/ECHO at baseline.</w:t>
      </w:r>
    </w:p>
    <w:p w14:paraId="5B4321AD" w14:textId="7D421AC5"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sz w:val="22"/>
          <w:szCs w:val="22"/>
        </w:rPr>
        <w:t xml:space="preserve">   4. Schedule of Assessments: Detailed in the tables within the protocol.</w:t>
      </w:r>
    </w:p>
    <w:p w14:paraId="1010D067" w14:textId="77777777" w:rsidR="00256EA9" w:rsidRPr="006566E0" w:rsidRDefault="00237E63" w:rsidP="00807C5C">
      <w:pPr>
        <w:spacing w:line="360" w:lineRule="auto"/>
        <w:rPr>
          <w:rFonts w:ascii="Times New Roman" w:hAnsi="Times New Roman" w:cs="Times New Roman"/>
          <w:b/>
          <w:bCs/>
          <w:sz w:val="22"/>
          <w:szCs w:val="22"/>
        </w:rPr>
      </w:pPr>
      <w:r w:rsidRPr="006566E0">
        <w:rPr>
          <w:rFonts w:ascii="Times New Roman" w:hAnsi="Times New Roman" w:cs="Times New Roman"/>
          <w:b/>
          <w:bCs/>
          <w:sz w:val="22"/>
          <w:szCs w:val="22"/>
        </w:rPr>
        <w:t>Study Methods</w:t>
      </w:r>
    </w:p>
    <w:p w14:paraId="23596155" w14:textId="77777777"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sz w:val="22"/>
          <w:szCs w:val="22"/>
        </w:rPr>
        <w:lastRenderedPageBreak/>
        <w:t xml:space="preserve">   1. Inclusion/Exclusion Criteria: As per the Protocol Synopsis.</w:t>
      </w:r>
    </w:p>
    <w:p w14:paraId="74E0F6C9" w14:textId="77777777"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sz w:val="22"/>
          <w:szCs w:val="22"/>
        </w:rPr>
        <w:t xml:space="preserve">   2. Subject Grouping: Non-randomized, grouped by dose level.</w:t>
      </w:r>
    </w:p>
    <w:p w14:paraId="48B34F0A" w14:textId="77777777"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sz w:val="22"/>
          <w:szCs w:val="22"/>
        </w:rPr>
        <w:t xml:space="preserve">   3. Study Treatment:</w:t>
      </w:r>
    </w:p>
    <w:p w14:paraId="7ED739B0" w14:textId="77777777" w:rsidR="00256EA9" w:rsidRPr="006566E0" w:rsidRDefault="00237E63" w:rsidP="00807C5C">
      <w:pPr>
        <w:numPr>
          <w:ilvl w:val="0"/>
          <w:numId w:val="2"/>
        </w:numPr>
        <w:spacing w:line="360" w:lineRule="auto"/>
        <w:rPr>
          <w:rFonts w:ascii="Times New Roman" w:hAnsi="Times New Roman" w:cs="Times New Roman"/>
          <w:sz w:val="22"/>
          <w:szCs w:val="22"/>
        </w:rPr>
      </w:pPr>
      <w:r w:rsidRPr="006566E0">
        <w:rPr>
          <w:rFonts w:ascii="Times New Roman" w:hAnsi="Times New Roman" w:cs="Times New Roman"/>
          <w:sz w:val="22"/>
          <w:szCs w:val="22"/>
        </w:rPr>
        <w:t xml:space="preserve"> Dose Selection &amp; Administration: Three dose levels as specified. Administration is via intravenous infusion on Days 0, 3, and 7.</w:t>
      </w:r>
    </w:p>
    <w:p w14:paraId="243F16A4" w14:textId="785558F1" w:rsidR="00256EA9" w:rsidRPr="006566E0" w:rsidRDefault="00237E63" w:rsidP="00807C5C">
      <w:pPr>
        <w:numPr>
          <w:ilvl w:val="0"/>
          <w:numId w:val="2"/>
        </w:numPr>
        <w:spacing w:line="360" w:lineRule="auto"/>
        <w:rPr>
          <w:rFonts w:ascii="Times New Roman" w:hAnsi="Times New Roman" w:cs="Times New Roman"/>
          <w:sz w:val="22"/>
          <w:szCs w:val="22"/>
        </w:rPr>
      </w:pPr>
      <w:r w:rsidRPr="006566E0">
        <w:rPr>
          <w:rFonts w:ascii="Times New Roman" w:hAnsi="Times New Roman" w:cs="Times New Roman"/>
          <w:sz w:val="22"/>
          <w:szCs w:val="22"/>
        </w:rPr>
        <w:t xml:space="preserve"> Supportive Care/Rescue Medication:</w:t>
      </w:r>
      <w:r w:rsidR="008858AC" w:rsidRPr="006566E0">
        <w:rPr>
          <w:rFonts w:ascii="Times New Roman" w:hAnsi="Times New Roman" w:cs="Times New Roman" w:hint="eastAsia"/>
          <w:sz w:val="22"/>
          <w:szCs w:val="22"/>
        </w:rPr>
        <w:t xml:space="preserve"> </w:t>
      </w:r>
      <w:r w:rsidRPr="006566E0">
        <w:rPr>
          <w:rFonts w:ascii="Times New Roman" w:hAnsi="Times New Roman" w:cs="Times New Roman"/>
          <w:sz w:val="22"/>
          <w:szCs w:val="22"/>
        </w:rPr>
        <w:t>Standard supportive care for management of potential AEs (e.g., CRS, infections) will be provided per institutional guidelines.</w:t>
      </w:r>
    </w:p>
    <w:p w14:paraId="1AC62137" w14:textId="1421A0FD"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sz w:val="22"/>
          <w:szCs w:val="22"/>
        </w:rPr>
        <w:t xml:space="preserve">   4. Criteria for Premature Withdrawal/Termination: As per the Protocol Synopsis.</w:t>
      </w:r>
    </w:p>
    <w:p w14:paraId="4C497015" w14:textId="2011A4B9"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b/>
          <w:bCs/>
          <w:sz w:val="22"/>
          <w:szCs w:val="22"/>
        </w:rPr>
        <w:t>Study Procedures</w:t>
      </w:r>
      <w:r w:rsidRPr="006566E0">
        <w:rPr>
          <w:rFonts w:ascii="Times New Roman" w:hAnsi="Times New Roman" w:cs="Times New Roman"/>
          <w:sz w:val="22"/>
          <w:szCs w:val="22"/>
        </w:rPr>
        <w:t xml:space="preserve"> (Detailed management of subjects, safety evaluations, risk management, efficacy assessments, withdrawal processes, and visit requirements are outlined in the full protocol).</w:t>
      </w:r>
    </w:p>
    <w:p w14:paraId="5F7E87D0" w14:textId="1E18889D"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b/>
          <w:bCs/>
          <w:sz w:val="22"/>
          <w:szCs w:val="22"/>
        </w:rPr>
        <w:t>Study Start and End</w:t>
      </w:r>
      <w:r w:rsidRPr="006566E0">
        <w:rPr>
          <w:rFonts w:ascii="Times New Roman" w:hAnsi="Times New Roman" w:cs="Times New Roman"/>
          <w:sz w:val="22"/>
          <w:szCs w:val="22"/>
        </w:rPr>
        <w:t>: The study starts with the enrollment of the first eligible subject and ends when all subjects complete the 24-month long-term follow-up. Total duration is approximately 3 years.</w:t>
      </w:r>
    </w:p>
    <w:p w14:paraId="6823609E" w14:textId="691D24C5"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b/>
          <w:bCs/>
          <w:sz w:val="22"/>
          <w:szCs w:val="22"/>
        </w:rPr>
        <w:t>Criteria for Early Study Termination</w:t>
      </w:r>
      <w:r w:rsidRPr="006566E0">
        <w:rPr>
          <w:rFonts w:ascii="Times New Roman" w:hAnsi="Times New Roman" w:cs="Times New Roman"/>
          <w:sz w:val="22"/>
          <w:szCs w:val="22"/>
        </w:rPr>
        <w:t>: May include significant safety concerns, lack of efficacy, major protocol violations, enrollment difficulties, or request by regulatory authorities.</w:t>
      </w:r>
    </w:p>
    <w:p w14:paraId="4D1720F1" w14:textId="77777777"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b/>
          <w:bCs/>
          <w:sz w:val="22"/>
          <w:szCs w:val="22"/>
        </w:rPr>
        <w:t>Data Safety and Monitoring Plan</w:t>
      </w:r>
    </w:p>
    <w:p w14:paraId="09F0395F" w14:textId="77777777"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sz w:val="22"/>
          <w:szCs w:val="22"/>
        </w:rPr>
        <w:t xml:space="preserve">   1. Data Management: Electronic data capture with source data verification.</w:t>
      </w:r>
    </w:p>
    <w:p w14:paraId="3EB0A166" w14:textId="77777777"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sz w:val="22"/>
          <w:szCs w:val="22"/>
        </w:rPr>
        <w:t xml:space="preserve">   2. AE/SAE Reporting: AEs will be monitored and graded per CTCAE v5.0. All SAEs and ≥Grade 3 non-serious CRS events must be reported to the safety department within 24 hours of investigator awareness.</w:t>
      </w:r>
    </w:p>
    <w:p w14:paraId="25BF4970" w14:textId="23AE19B6"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sz w:val="22"/>
          <w:szCs w:val="22"/>
        </w:rPr>
        <w:t xml:space="preserve">   3. Safety Monitoring: Regular monitoring visits; semi-annual monitoring reports will be submitted to the Ethics Committee.</w:t>
      </w:r>
    </w:p>
    <w:p w14:paraId="42073E64" w14:textId="77777777"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b/>
          <w:bCs/>
          <w:sz w:val="22"/>
          <w:szCs w:val="22"/>
        </w:rPr>
        <w:t>Adherence to Ethical Principles and Regulations</w:t>
      </w:r>
    </w:p>
    <w:p w14:paraId="12281133" w14:textId="33ECEF89"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sz w:val="22"/>
          <w:szCs w:val="22"/>
        </w:rPr>
        <w:t>The study will be conducted in accordance with the Declaration of Helsinki, ICH-GCP, and applicable Chinese regulations. Approval from the Institutional Ethics Committee is required before study initiation. All participants must provide written informed consent.</w:t>
      </w:r>
    </w:p>
    <w:p w14:paraId="7A90018A" w14:textId="77777777"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sz w:val="22"/>
          <w:szCs w:val="22"/>
        </w:rPr>
        <w:t xml:space="preserve"> </w:t>
      </w:r>
      <w:r w:rsidRPr="006566E0">
        <w:rPr>
          <w:rFonts w:ascii="Times New Roman" w:hAnsi="Times New Roman" w:cs="Times New Roman"/>
          <w:b/>
          <w:bCs/>
          <w:sz w:val="22"/>
          <w:szCs w:val="22"/>
        </w:rPr>
        <w:t>Statistical Analysis Plan</w:t>
      </w:r>
    </w:p>
    <w:p w14:paraId="4E4AC2FC" w14:textId="77777777" w:rsidR="00256EA9" w:rsidRPr="006566E0" w:rsidRDefault="00237E63" w:rsidP="00807C5C">
      <w:pPr>
        <w:spacing w:line="360" w:lineRule="auto"/>
        <w:rPr>
          <w:rFonts w:ascii="Times New Roman" w:hAnsi="Times New Roman" w:cs="Times New Roman"/>
          <w:sz w:val="22"/>
          <w:szCs w:val="22"/>
        </w:rPr>
      </w:pPr>
      <w:r w:rsidRPr="006566E0">
        <w:rPr>
          <w:rFonts w:ascii="Times New Roman" w:hAnsi="Times New Roman" w:cs="Times New Roman"/>
          <w:sz w:val="22"/>
          <w:szCs w:val="22"/>
        </w:rPr>
        <w:t>A detailed SAP will be developed. Key aspects:</w:t>
      </w:r>
    </w:p>
    <w:p w14:paraId="68C45107" w14:textId="77777777" w:rsidR="00256EA9" w:rsidRPr="006566E0" w:rsidRDefault="00237E63" w:rsidP="00807C5C">
      <w:pPr>
        <w:numPr>
          <w:ilvl w:val="0"/>
          <w:numId w:val="3"/>
        </w:numPr>
        <w:spacing w:line="360" w:lineRule="auto"/>
        <w:rPr>
          <w:rFonts w:ascii="Times New Roman" w:hAnsi="Times New Roman" w:cs="Times New Roman"/>
          <w:sz w:val="22"/>
          <w:szCs w:val="22"/>
        </w:rPr>
      </w:pPr>
      <w:r w:rsidRPr="006566E0">
        <w:rPr>
          <w:rFonts w:ascii="Times New Roman" w:hAnsi="Times New Roman" w:cs="Times New Roman"/>
          <w:sz w:val="22"/>
          <w:szCs w:val="22"/>
        </w:rPr>
        <w:t>MTD Determination: Based on the standard "3+3" dose-escalation rules.</w:t>
      </w:r>
    </w:p>
    <w:p w14:paraId="1321FB05" w14:textId="77777777" w:rsidR="00256EA9" w:rsidRPr="006566E0" w:rsidRDefault="00237E63" w:rsidP="00807C5C">
      <w:pPr>
        <w:numPr>
          <w:ilvl w:val="0"/>
          <w:numId w:val="3"/>
        </w:numPr>
        <w:spacing w:line="360" w:lineRule="auto"/>
        <w:rPr>
          <w:rFonts w:ascii="Times New Roman" w:hAnsi="Times New Roman" w:cs="Times New Roman"/>
          <w:sz w:val="22"/>
          <w:szCs w:val="22"/>
        </w:rPr>
      </w:pPr>
      <w:r w:rsidRPr="006566E0">
        <w:rPr>
          <w:rFonts w:ascii="Times New Roman" w:hAnsi="Times New Roman" w:cs="Times New Roman"/>
          <w:sz w:val="22"/>
          <w:szCs w:val="22"/>
        </w:rPr>
        <w:lastRenderedPageBreak/>
        <w:t>Efficacy Analysis: Descriptive statistics for response rates. Time-to-event endpoints analyzed using Kaplan-Meier method.</w:t>
      </w:r>
    </w:p>
    <w:p w14:paraId="141BE3C8" w14:textId="41E6E864" w:rsidR="00256EA9" w:rsidRPr="00E43F50" w:rsidRDefault="00237E63" w:rsidP="00E43F50">
      <w:pPr>
        <w:numPr>
          <w:ilvl w:val="0"/>
          <w:numId w:val="3"/>
        </w:numPr>
        <w:spacing w:line="360" w:lineRule="auto"/>
        <w:rPr>
          <w:rFonts w:ascii="Times New Roman" w:hAnsi="Times New Roman" w:cs="Times New Roman"/>
          <w:sz w:val="22"/>
          <w:szCs w:val="22"/>
        </w:rPr>
      </w:pPr>
      <w:r w:rsidRPr="006566E0">
        <w:rPr>
          <w:rFonts w:ascii="Times New Roman" w:hAnsi="Times New Roman" w:cs="Times New Roman"/>
          <w:sz w:val="22"/>
          <w:szCs w:val="22"/>
        </w:rPr>
        <w:t>Safety Analysis:</w:t>
      </w:r>
      <w:r w:rsidR="00003529" w:rsidRPr="006566E0">
        <w:rPr>
          <w:rFonts w:ascii="Times New Roman" w:hAnsi="Times New Roman" w:cs="Times New Roman" w:hint="eastAsia"/>
          <w:sz w:val="22"/>
          <w:szCs w:val="22"/>
        </w:rPr>
        <w:t xml:space="preserve"> </w:t>
      </w:r>
      <w:r w:rsidRPr="006566E0">
        <w:rPr>
          <w:rFonts w:ascii="Times New Roman" w:hAnsi="Times New Roman" w:cs="Times New Roman"/>
          <w:sz w:val="22"/>
          <w:szCs w:val="22"/>
        </w:rPr>
        <w:t>Descriptive summaries of AEs, laboratory abnormalities, etc.</w:t>
      </w:r>
    </w:p>
    <w:sectPr w:rsidR="00256EA9" w:rsidRPr="00E43F5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EAB69A2"/>
    <w:multiLevelType w:val="singleLevel"/>
    <w:tmpl w:val="FEAB69A2"/>
    <w:lvl w:ilvl="0">
      <w:start w:val="1"/>
      <w:numFmt w:val="decimal"/>
      <w:lvlText w:val="(%1)"/>
      <w:lvlJc w:val="left"/>
      <w:pPr>
        <w:ind w:left="845" w:hanging="425"/>
      </w:pPr>
      <w:rPr>
        <w:rFonts w:hint="default"/>
      </w:rPr>
    </w:lvl>
  </w:abstractNum>
  <w:abstractNum w:abstractNumId="1" w15:restartNumberingAfterBreak="0">
    <w:nsid w:val="199EFBC6"/>
    <w:multiLevelType w:val="singleLevel"/>
    <w:tmpl w:val="199EFBC6"/>
    <w:lvl w:ilvl="0">
      <w:start w:val="1"/>
      <w:numFmt w:val="decimal"/>
      <w:lvlText w:val="(%1)"/>
      <w:lvlJc w:val="left"/>
      <w:pPr>
        <w:ind w:left="425" w:hanging="425"/>
      </w:pPr>
      <w:rPr>
        <w:rFonts w:hint="default"/>
      </w:rPr>
    </w:lvl>
  </w:abstractNum>
  <w:abstractNum w:abstractNumId="2" w15:restartNumberingAfterBreak="0">
    <w:nsid w:val="3F2FF187"/>
    <w:multiLevelType w:val="singleLevel"/>
    <w:tmpl w:val="3F2FF187"/>
    <w:lvl w:ilvl="0">
      <w:start w:val="1"/>
      <w:numFmt w:val="decimal"/>
      <w:lvlText w:val="(%1)"/>
      <w:lvlJc w:val="left"/>
      <w:pPr>
        <w:ind w:left="845" w:hanging="425"/>
      </w:pPr>
      <w:rPr>
        <w:rFonts w:hint="default"/>
      </w:rPr>
    </w:lvl>
  </w:abstractNum>
  <w:num w:numId="1" w16cid:durableId="1568373561">
    <w:abstractNumId w:val="0"/>
  </w:num>
  <w:num w:numId="2" w16cid:durableId="1903710469">
    <w:abstractNumId w:val="2"/>
  </w:num>
  <w:num w:numId="3" w16cid:durableId="81318324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F4C79F7"/>
    <w:rsid w:val="00003529"/>
    <w:rsid w:val="000215CD"/>
    <w:rsid w:val="00080DD2"/>
    <w:rsid w:val="000A1624"/>
    <w:rsid w:val="000E3D83"/>
    <w:rsid w:val="00237E63"/>
    <w:rsid w:val="00256EA9"/>
    <w:rsid w:val="00313CA8"/>
    <w:rsid w:val="00344E43"/>
    <w:rsid w:val="00413AB4"/>
    <w:rsid w:val="004A47CB"/>
    <w:rsid w:val="004C3294"/>
    <w:rsid w:val="004D0867"/>
    <w:rsid w:val="005E32C7"/>
    <w:rsid w:val="00614EB3"/>
    <w:rsid w:val="00621C36"/>
    <w:rsid w:val="00632119"/>
    <w:rsid w:val="006566E0"/>
    <w:rsid w:val="006A66A1"/>
    <w:rsid w:val="006B6A25"/>
    <w:rsid w:val="007D5285"/>
    <w:rsid w:val="008050A3"/>
    <w:rsid w:val="00807C5C"/>
    <w:rsid w:val="0086678B"/>
    <w:rsid w:val="008751BF"/>
    <w:rsid w:val="008858AC"/>
    <w:rsid w:val="009176E9"/>
    <w:rsid w:val="00B0224B"/>
    <w:rsid w:val="00BA6D46"/>
    <w:rsid w:val="00BC53AB"/>
    <w:rsid w:val="00CE6A9B"/>
    <w:rsid w:val="00D216E7"/>
    <w:rsid w:val="00D337C3"/>
    <w:rsid w:val="00E3374F"/>
    <w:rsid w:val="00E43F50"/>
    <w:rsid w:val="2F4C79F7"/>
    <w:rsid w:val="7EB503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595AC7"/>
  <w15:docId w15:val="{7C23A3AB-A522-0041-8692-160954C0E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Pr>
      <w:b/>
    </w:rPr>
  </w:style>
  <w:style w:type="character" w:styleId="a4">
    <w:name w:val="annotation reference"/>
    <w:basedOn w:val="a0"/>
    <w:rsid w:val="00BC53AB"/>
    <w:rPr>
      <w:sz w:val="21"/>
      <w:szCs w:val="21"/>
    </w:rPr>
  </w:style>
  <w:style w:type="paragraph" w:styleId="a5">
    <w:name w:val="annotation text"/>
    <w:basedOn w:val="a"/>
    <w:link w:val="a6"/>
    <w:rsid w:val="00BC53AB"/>
    <w:pPr>
      <w:jc w:val="left"/>
    </w:pPr>
  </w:style>
  <w:style w:type="character" w:customStyle="1" w:styleId="a6">
    <w:name w:val="批注文字 字符"/>
    <w:basedOn w:val="a0"/>
    <w:link w:val="a5"/>
    <w:rsid w:val="00BC53AB"/>
    <w:rPr>
      <w:rFonts w:asciiTheme="minorHAnsi" w:eastAsiaTheme="minorEastAsia" w:hAnsiTheme="minorHAnsi" w:cstheme="minorBidi"/>
      <w:kern w:val="2"/>
      <w:sz w:val="21"/>
      <w:szCs w:val="24"/>
    </w:rPr>
  </w:style>
  <w:style w:type="paragraph" w:styleId="a7">
    <w:name w:val="annotation subject"/>
    <w:basedOn w:val="a5"/>
    <w:next w:val="a5"/>
    <w:link w:val="a8"/>
    <w:rsid w:val="00BC53AB"/>
    <w:rPr>
      <w:b/>
      <w:bCs/>
    </w:rPr>
  </w:style>
  <w:style w:type="character" w:customStyle="1" w:styleId="a8">
    <w:name w:val="批注主题 字符"/>
    <w:basedOn w:val="a6"/>
    <w:link w:val="a7"/>
    <w:rsid w:val="00BC53AB"/>
    <w:rPr>
      <w:rFonts w:asciiTheme="minorHAnsi" w:eastAsiaTheme="minorEastAsia" w:hAnsiTheme="minorHAnsi" w:cstheme="minorBidi"/>
      <w:b/>
      <w:bCs/>
      <w:kern w:val="2"/>
      <w:sz w:val="21"/>
      <w:szCs w:val="24"/>
    </w:rPr>
  </w:style>
  <w:style w:type="paragraph" w:styleId="a9">
    <w:name w:val="Balloon Text"/>
    <w:basedOn w:val="a"/>
    <w:link w:val="aa"/>
    <w:rsid w:val="00BC53AB"/>
    <w:rPr>
      <w:sz w:val="18"/>
      <w:szCs w:val="18"/>
    </w:rPr>
  </w:style>
  <w:style w:type="character" w:customStyle="1" w:styleId="aa">
    <w:name w:val="批注框文本 字符"/>
    <w:basedOn w:val="a0"/>
    <w:link w:val="a9"/>
    <w:rsid w:val="00BC53AB"/>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B9471-16FD-4DC3-97DF-CA69CD4A0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2273</Words>
  <Characters>12959</Characters>
  <Application>Microsoft Office Word</Application>
  <DocSecurity>0</DocSecurity>
  <Lines>107</Lines>
  <Paragraphs>30</Paragraphs>
  <ScaleCrop>false</ScaleCrop>
  <Company/>
  <LinksUpToDate>false</LinksUpToDate>
  <CharactersWithSpaces>15202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陈哲灵</dc:creator>
  <cp:lastModifiedBy>誉鹏 洪</cp:lastModifiedBy>
  <cp:revision>10</cp:revision>
  <dcterms:created xsi:type="dcterms:W3CDTF">2026-07-22T12:24:00Z</dcterms:created>
  <dcterms:modified xsi:type="dcterms:W3CDTF">2026-07-26T14:59:00Z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FB2460008F6D45A3865C3BE1213B664E_13</vt:lpwstr>
  </property>
  <property fmtid="{D5CDD505-2E9C-101B-9397-08002B2CF9AE}" pid="4" name="KSOTemplateDocerSaveRecord">
    <vt:lpwstr>eyJoZGlkIjoiNzI1MzljODBiNDliMzEyMzFlZWNlN2EzYjU0N2YzMWEiLCJ1c2VySWQiOiI2MDQ2NDUyMTIifQ==</vt:lpwstr>
  </property>
</Properties>
</file>