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0849" w14:textId="77777777" w:rsidR="00EB7726" w:rsidRDefault="00EB7726" w:rsidP="00EB7726">
      <w:pPr>
        <w:spacing w:line="480" w:lineRule="auto"/>
        <w:ind w:firstLine="40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1. Release criteria for the CAR-NK cell products</w:t>
      </w:r>
    </w:p>
    <w:tbl>
      <w:tblPr>
        <w:tblW w:w="8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3"/>
      </w:tblGrid>
      <w:tr w:rsidR="00EB7726" w14:paraId="330F706E" w14:textId="77777777" w:rsidTr="001903EC">
        <w:trPr>
          <w:trHeight w:val="702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540C4A5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Test item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0C4A58A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Standard criterion</w:t>
            </w:r>
          </w:p>
        </w:tc>
      </w:tr>
      <w:tr w:rsidR="00EB7726" w14:paraId="553C696C" w14:textId="77777777" w:rsidTr="001903EC">
        <w:trPr>
          <w:trHeight w:val="478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</w:tcPr>
          <w:p w14:paraId="725908DF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Outlooking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</w:tcPr>
          <w:p w14:paraId="5CB635D7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 flocculent precipitate, no foreign body</w:t>
            </w:r>
          </w:p>
        </w:tc>
      </w:tr>
      <w:tr w:rsidR="00EB7726" w14:paraId="340BE728" w14:textId="77777777" w:rsidTr="001903EC">
        <w:trPr>
          <w:trHeight w:val="489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9A538CB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Cell viability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2806E15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 90%</w:t>
            </w:r>
          </w:p>
        </w:tc>
      </w:tr>
      <w:tr w:rsidR="00EB7726" w14:paraId="2E26F038" w14:textId="77777777" w:rsidTr="001903EC">
        <w:trPr>
          <w:trHeight w:val="444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</w:tcPr>
          <w:p w14:paraId="47AFC6F7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CD56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NK cells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</w:tcPr>
          <w:p w14:paraId="3D70DEFA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 80%;</w:t>
            </w:r>
          </w:p>
        </w:tc>
      </w:tr>
      <w:tr w:rsidR="00EB7726" w14:paraId="4B4C2376" w14:textId="77777777" w:rsidTr="001903EC">
        <w:trPr>
          <w:trHeight w:val="444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6DA4E31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 transduction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FF669F8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 10%.</w:t>
            </w:r>
          </w:p>
        </w:tc>
      </w:tr>
      <w:tr w:rsidR="00EB7726" w14:paraId="4EDEE177" w14:textId="77777777" w:rsidTr="001903EC">
        <w:trPr>
          <w:trHeight w:val="515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42F953F0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 cell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215F181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≤ 1.0%;</w:t>
            </w:r>
          </w:p>
        </w:tc>
      </w:tr>
      <w:tr w:rsidR="00EB7726" w14:paraId="750BD633" w14:textId="77777777" w:rsidTr="001903EC">
        <w:trPr>
          <w:trHeight w:val="462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77C78F5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Feeder cells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D3929F7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≤ 1.0%</w:t>
            </w:r>
          </w:p>
        </w:tc>
      </w:tr>
      <w:tr w:rsidR="00EB7726" w14:paraId="65DA2D93" w14:textId="77777777" w:rsidTr="001903EC">
        <w:trPr>
          <w:trHeight w:val="435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2254AD3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RCL Test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4BB47ADC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</w:p>
        </w:tc>
      </w:tr>
      <w:tr w:rsidR="00EB7726" w14:paraId="0D2650F9" w14:textId="77777777" w:rsidTr="001903EC">
        <w:trPr>
          <w:trHeight w:val="382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E135091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Bacterial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4606C7A8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Sterile at least culture for 5 days </w:t>
            </w:r>
          </w:p>
        </w:tc>
      </w:tr>
      <w:tr w:rsidR="00EB7726" w14:paraId="4F1C4A86" w14:textId="77777777" w:rsidTr="001903EC">
        <w:trPr>
          <w:trHeight w:val="391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1FD2B3D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Fungal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38708147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Sterile at least culture for 5 days</w:t>
            </w:r>
          </w:p>
        </w:tc>
      </w:tr>
      <w:tr w:rsidR="00EB7726" w14:paraId="0EF8352C" w14:textId="77777777" w:rsidTr="001903EC">
        <w:trPr>
          <w:trHeight w:val="391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B63C655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Mycoplasma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DBC6194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</w:p>
        </w:tc>
      </w:tr>
      <w:tr w:rsidR="00EB7726" w14:paraId="3EF820DC" w14:textId="77777777" w:rsidTr="001903EC">
        <w:trPr>
          <w:trHeight w:val="518"/>
        </w:trPr>
        <w:tc>
          <w:tcPr>
            <w:tcW w:w="3109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31C9A9F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Endotoxin</w:t>
            </w:r>
          </w:p>
        </w:tc>
        <w:tc>
          <w:tcPr>
            <w:tcW w:w="5103" w:type="dxa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B64A418" w14:textId="77777777" w:rsidR="00EB7726" w:rsidRDefault="00EB7726" w:rsidP="001903EC">
            <w:pPr>
              <w:spacing w:line="48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≤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0.5EU/mL</w:t>
            </w:r>
          </w:p>
        </w:tc>
      </w:tr>
    </w:tbl>
    <w:p w14:paraId="3A782012" w14:textId="77777777" w:rsidR="00EB4A2D" w:rsidRDefault="00EB4A2D"/>
    <w:p w14:paraId="1B9FCC3D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color w:val="0F1115"/>
          <w:sz w:val="22"/>
          <w:szCs w:val="22"/>
        </w:rPr>
        <w:t>Table 2: Antibodies used for flow cytometric phenotyping of CAR-NK cells.</w:t>
      </w:r>
    </w:p>
    <w:tbl>
      <w:tblPr>
        <w:tblW w:w="8506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276"/>
        <w:gridCol w:w="1771"/>
        <w:gridCol w:w="2243"/>
        <w:gridCol w:w="1374"/>
      </w:tblGrid>
      <w:tr w:rsidR="00EB7726" w14:paraId="3C375C66" w14:textId="77777777" w:rsidTr="001903EC">
        <w:trPr>
          <w:trHeight w:val="483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6AFCDA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7315FC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Clone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1F0F68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Fluorophore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9EDEB9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Catalog numbers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D34628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Supplier</w:t>
            </w:r>
          </w:p>
        </w:tc>
      </w:tr>
      <w:tr w:rsidR="00EB7726" w14:paraId="70257895" w14:textId="77777777" w:rsidTr="001903EC">
        <w:trPr>
          <w:trHeight w:val="470"/>
        </w:trPr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E0962A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CD271 (NGFR)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ED8C51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ME20.4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2CEF11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APC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DC51E5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345108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3E7543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B7726" w14:paraId="4734891C" w14:textId="77777777" w:rsidTr="001903EC">
        <w:trPr>
          <w:trHeight w:val="4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8FE5E3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7315BF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5.1H11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1629E3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51B9B6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362546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4E698F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B7726" w14:paraId="71EB825B" w14:textId="77777777" w:rsidTr="001903EC">
        <w:trPr>
          <w:trHeight w:val="45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7CE22B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FD7425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3G8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5D9831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PerCP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A46718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302030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13CEA5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B7726" w14:paraId="6B9479EA" w14:textId="77777777" w:rsidTr="001903EC">
        <w:trPr>
          <w:trHeight w:val="4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F4C4FB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NKp46 (CD335)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5CEFD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9E2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5298DA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BEADFA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331908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250DF0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  <w:tr w:rsidR="00EB7726" w14:paraId="2BDD7CE0" w14:textId="77777777" w:rsidTr="001903EC">
        <w:trPr>
          <w:trHeight w:val="4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15FC05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NKp44 (CD336)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228F3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P44-8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9EA03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PE-Cy7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B35920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325116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6EC08B" w14:textId="77777777" w:rsidR="00EB7726" w:rsidRDefault="00EB7726" w:rsidP="001903E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BioLegend</w:t>
            </w:r>
          </w:p>
        </w:tc>
      </w:tr>
    </w:tbl>
    <w:p w14:paraId="6B0C68D3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61E637B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6DB5733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422BEDB3" wp14:editId="2A4AC27F">
            <wp:extent cx="5274310" cy="4820285"/>
            <wp:effectExtent l="0" t="0" r="0" b="5715"/>
            <wp:docPr id="1177165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65044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207D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 Figure1: Gating strategies for Flow cytometry. (a) Phenotypes of CAR-NK cell products (b)Detection of CAR-NK cells in peripheral blood of patients post-infusion</w:t>
      </w:r>
    </w:p>
    <w:p w14:paraId="17C41089" w14:textId="77777777" w:rsidR="00EB7726" w:rsidRDefault="00EB7726" w:rsidP="00EB772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>Reference：</w:t>
      </w:r>
    </w:p>
    <w:p w14:paraId="57BB294A" w14:textId="77777777" w:rsidR="00EB7726" w:rsidRDefault="00EB7726" w:rsidP="00EB7726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ab/>
        <w:t>Mika, T., et al. Digital-Droplet PCR for Quantification of CD19-Directed CAR T-Cells. Front Mol Biosci 7, 84 (2020).</w:t>
      </w:r>
    </w:p>
    <w:p w14:paraId="45A575C6" w14:textId="77777777" w:rsidR="00EB7726" w:rsidRDefault="00EB7726"/>
    <w:sectPr w:rsidR="00EB7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26"/>
    <w:rsid w:val="001D3053"/>
    <w:rsid w:val="001E3A92"/>
    <w:rsid w:val="00217E67"/>
    <w:rsid w:val="002C7D54"/>
    <w:rsid w:val="0033371E"/>
    <w:rsid w:val="00361C2F"/>
    <w:rsid w:val="005C0D39"/>
    <w:rsid w:val="0070406C"/>
    <w:rsid w:val="00724754"/>
    <w:rsid w:val="007B36B1"/>
    <w:rsid w:val="00C321FA"/>
    <w:rsid w:val="00C97210"/>
    <w:rsid w:val="00EB4A2D"/>
    <w:rsid w:val="00EB7726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631D"/>
  <w15:chartTrackingRefBased/>
  <w15:docId w15:val="{449294B7-BB22-4D27-AE34-E8D4E95E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726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72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72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72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72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72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72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72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72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72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72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7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72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7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72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7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72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7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72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726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EB7726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EB7726"/>
    <w:rPr>
      <w:rFonts w:ascii="DengXian" w:eastAsia="DengXian" w:hAnsi="DengXian"/>
      <w:sz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2026-08-31T08:38:00Z</dcterms:created>
  <dcterms:modified xsi:type="dcterms:W3CDTF">2026-08-31T08:39:00Z</dcterms:modified>
</cp:coreProperties>
</file>