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EDEB" w14:textId="77777777" w:rsidR="002843F6" w:rsidRPr="00650EA9" w:rsidRDefault="002843F6" w:rsidP="002843F6">
      <w:pPr>
        <w:spacing w:before="315" w:after="105" w:line="360" w:lineRule="auto"/>
        <w:ind w:left="-30"/>
        <w:jc w:val="both"/>
        <w:rPr>
          <w:rFonts w:ascii="Times New Roman" w:hAnsi="Times New Roman" w:cs="Times New Roman"/>
          <w:sz w:val="24"/>
          <w:szCs w:val="24"/>
        </w:rPr>
      </w:pPr>
      <w:bookmarkStart w:id="0" w:name="table_1_characteristics_of_enroll_d2e181"/>
      <w:r w:rsidRPr="00650EA9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Table 1. Characteristics of Enrolled Patients with Hepatorenal Syndrome</w:t>
      </w:r>
      <w:bookmarkEnd w:id="0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393"/>
        <w:gridCol w:w="1537"/>
      </w:tblGrid>
      <w:tr w:rsidR="002843F6" w:rsidRPr="00650EA9" w14:paraId="18210729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7620B2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3D11BB6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b/>
                <w:bCs/>
                <w:color w:val="000000"/>
                <w:sz w:val="24"/>
                <w:szCs w:val="24"/>
              </w:rPr>
              <w:t>Value</w:t>
            </w:r>
          </w:p>
        </w:tc>
      </w:tr>
      <w:tr w:rsidR="002843F6" w:rsidRPr="00650EA9" w14:paraId="22B97FE2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1C74E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No. of patients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CBDA6EC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843F6" w:rsidRPr="00650EA9" w14:paraId="75A8E00F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BB3E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Age, y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BE1849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51.1 ± 11.9</w:t>
            </w:r>
          </w:p>
        </w:tc>
      </w:tr>
      <w:tr w:rsidR="002843F6" w:rsidRPr="00650EA9" w14:paraId="4BB157BC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890A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Male sex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FC2B54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37 (92.5)</w:t>
            </w:r>
          </w:p>
        </w:tc>
      </w:tr>
      <w:tr w:rsidR="002843F6" w:rsidRPr="00650EA9" w14:paraId="51F4F8B1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F9332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Total bilirubin, mg/dL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23EE571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7.73 ± 8.99</w:t>
            </w:r>
          </w:p>
        </w:tc>
      </w:tr>
      <w:tr w:rsidR="002843F6" w:rsidRPr="00650EA9" w14:paraId="455739CF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F57392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Serum albumin, g/dL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C5F76A4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2.58 ± 0.61</w:t>
            </w:r>
          </w:p>
        </w:tc>
      </w:tr>
      <w:tr w:rsidR="002843F6" w:rsidRPr="00650EA9" w14:paraId="09F0AD0B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5197EF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Serum creatinine, mg/dL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B3E8E94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2.97 ± 1.92</w:t>
            </w:r>
          </w:p>
        </w:tc>
      </w:tr>
      <w:tr w:rsidR="002843F6" w:rsidRPr="00650EA9" w14:paraId="552AF179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B3A56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INR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269F00D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2.53 ± 1.39</w:t>
            </w:r>
          </w:p>
        </w:tc>
      </w:tr>
      <w:tr w:rsidR="002843F6" w:rsidRPr="00650EA9" w14:paraId="17E64C7B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E851F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Ascites present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FC5F21E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34 (85.0)</w:t>
            </w:r>
          </w:p>
        </w:tc>
      </w:tr>
      <w:tr w:rsidR="002843F6" w:rsidRPr="00650EA9" w14:paraId="2A9E558B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10CD9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Hepatic encephalopathy present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4AC21EE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26 (65.0)</w:t>
            </w:r>
          </w:p>
        </w:tc>
      </w:tr>
      <w:tr w:rsidR="002843F6" w:rsidRPr="00650EA9" w14:paraId="28A9F3B1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44842C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Alcohol-related liver disease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A8F5B2F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24 (60.0)</w:t>
            </w:r>
          </w:p>
        </w:tc>
      </w:tr>
      <w:tr w:rsidR="002843F6" w:rsidRPr="00650EA9" w14:paraId="6006DE8F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F68A12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Nonalcoholic steatohepatitis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F1B93ED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11 (27.5)</w:t>
            </w:r>
          </w:p>
        </w:tc>
      </w:tr>
      <w:tr w:rsidR="002843F6" w:rsidRPr="00650EA9" w14:paraId="68342386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9510B5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Viral etiology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BAEB3C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 (7.5)</w:t>
            </w:r>
          </w:p>
        </w:tc>
      </w:tr>
      <w:tr w:rsidR="002843F6" w:rsidRPr="00650EA9" w14:paraId="11BF37DA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3C60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Other etiologies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A1138DC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 (5.0)</w:t>
            </w:r>
          </w:p>
        </w:tc>
      </w:tr>
      <w:tr w:rsidR="002843F6" w:rsidRPr="00650EA9" w14:paraId="034D4A9C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E5732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MELD-Na 11-18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9F4116C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4 (10.0)</w:t>
            </w:r>
          </w:p>
        </w:tc>
      </w:tr>
      <w:tr w:rsidR="002843F6" w:rsidRPr="00650EA9" w14:paraId="36451088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3E524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MELD-Na 19-24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CEA5ED6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 (5.0)</w:t>
            </w:r>
          </w:p>
        </w:tc>
      </w:tr>
      <w:tr w:rsidR="002843F6" w:rsidRPr="00650EA9" w14:paraId="26E598AC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98149D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MELD-Na ≥25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F5B9164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34 (85.0)</w:t>
            </w:r>
          </w:p>
        </w:tc>
      </w:tr>
      <w:tr w:rsidR="002843F6" w:rsidRPr="00650EA9" w14:paraId="16AE216B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ED553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 xml:space="preserve">MELD-Na score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6EABF00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31.38 ± 8.17</w:t>
            </w:r>
          </w:p>
        </w:tc>
      </w:tr>
    </w:tbl>
    <w:p w14:paraId="3144C51D" w14:textId="77777777" w:rsidR="002843F6" w:rsidRPr="00650EA9" w:rsidRDefault="002843F6" w:rsidP="002843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AA8B3" w14:textId="77777777" w:rsidR="002843F6" w:rsidRPr="00650EA9" w:rsidRDefault="002843F6" w:rsidP="002843F6">
      <w:pPr>
        <w:spacing w:after="2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A9">
        <w:rPr>
          <w:rFonts w:ascii="Times New Roman" w:eastAsia="source serif 4" w:hAnsi="Times New Roman" w:cs="Times New Roman"/>
          <w:color w:val="000000"/>
          <w:sz w:val="24"/>
          <w:szCs w:val="24"/>
        </w:rPr>
        <w:lastRenderedPageBreak/>
        <w:t xml:space="preserve">Abbreviations: INR, international normalized ratio; MELD-Na, Model for End-Stage Liver Disease-Sodium. Data are presented as mean ± SD or No. (%).  </w:t>
      </w:r>
    </w:p>
    <w:p w14:paraId="6936B996" w14:textId="77777777" w:rsidR="002843F6" w:rsidRPr="00650EA9" w:rsidRDefault="002843F6" w:rsidP="002843F6">
      <w:pPr>
        <w:spacing w:before="315" w:after="105" w:line="360" w:lineRule="auto"/>
        <w:ind w:left="-30"/>
        <w:jc w:val="both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  <w:bookmarkStart w:id="1" w:name="table_2_baseline_variables_accord_3f88aa"/>
    </w:p>
    <w:p w14:paraId="737A922C" w14:textId="77777777" w:rsidR="002843F6" w:rsidRPr="00650EA9" w:rsidRDefault="002843F6" w:rsidP="002843F6">
      <w:pPr>
        <w:spacing w:before="315" w:after="105" w:line="360" w:lineRule="auto"/>
        <w:ind w:left="-30"/>
        <w:jc w:val="both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</w:p>
    <w:p w14:paraId="4046844A" w14:textId="77777777" w:rsidR="002843F6" w:rsidRPr="00650EA9" w:rsidRDefault="002843F6" w:rsidP="002843F6">
      <w:pPr>
        <w:spacing w:before="315" w:after="105" w:line="360" w:lineRule="auto"/>
        <w:ind w:left="-30"/>
        <w:jc w:val="both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</w:p>
    <w:p w14:paraId="6C4DF0B5" w14:textId="77777777" w:rsidR="002843F6" w:rsidRPr="00650EA9" w:rsidRDefault="002843F6" w:rsidP="002843F6">
      <w:pPr>
        <w:spacing w:before="315" w:after="105" w:line="360" w:lineRule="auto"/>
        <w:ind w:left="-30"/>
        <w:jc w:val="both"/>
        <w:rPr>
          <w:rFonts w:ascii="Times New Roman" w:hAnsi="Times New Roman" w:cs="Times New Roman"/>
          <w:sz w:val="24"/>
          <w:szCs w:val="24"/>
        </w:rPr>
      </w:pPr>
      <w:r w:rsidRPr="00650EA9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Table 2. Baseline Variables According to In-Hospital Outcome</w:t>
      </w:r>
      <w:bookmarkEnd w:id="1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099"/>
        <w:gridCol w:w="1882"/>
        <w:gridCol w:w="2079"/>
        <w:gridCol w:w="1079"/>
      </w:tblGrid>
      <w:tr w:rsidR="002843F6" w:rsidRPr="00650EA9" w14:paraId="0AB101B7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84A31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b/>
                <w:bCs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2E5C9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b/>
                <w:bCs/>
                <w:color w:val="000000"/>
                <w:sz w:val="24"/>
                <w:szCs w:val="24"/>
              </w:rPr>
              <w:t>Death (n=20)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61B6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b/>
                <w:bCs/>
                <w:color w:val="000000"/>
                <w:sz w:val="24"/>
                <w:szCs w:val="24"/>
              </w:rPr>
              <w:t>Discharge (n=15)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FA5E78E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2843F6" w:rsidRPr="00650EA9" w14:paraId="765B224A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9B75C3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Age, 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01A11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49.60 ± 10.09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8DD4BB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49.73 ± 12.74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F2700EB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0.973</w:t>
            </w:r>
          </w:p>
        </w:tc>
      </w:tr>
      <w:tr w:rsidR="002843F6" w:rsidRPr="00650EA9" w14:paraId="3AAEC325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3F78CE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Male sex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A3D7F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19 (95.0)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5EFA0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13 (86.7)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A26B9B1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0.383</w:t>
            </w:r>
          </w:p>
        </w:tc>
      </w:tr>
      <w:tr w:rsidR="002843F6" w:rsidRPr="00650EA9" w14:paraId="14DFC742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1486B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Serum creatinine, mg/dL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412E1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3.50 ± 2.40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150BB1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2.41 ± 0.94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66E69DB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0.105</w:t>
            </w:r>
          </w:p>
        </w:tc>
      </w:tr>
      <w:tr w:rsidR="002843F6" w:rsidRPr="00650EA9" w14:paraId="1832E8DA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EBFA81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Serum sodium, mEq/L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F6044C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131.65 ± 8.60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FC4DC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129.07 ± 9.22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EFFD8F4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0.400</w:t>
            </w:r>
          </w:p>
        </w:tc>
      </w:tr>
      <w:tr w:rsidR="002843F6" w:rsidRPr="00650EA9" w14:paraId="33E4FFB5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1BAF5C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Total bilirubin, mg/dL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3572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9.68 ± 9.62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36164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5.52 ± 7.25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34BF439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0.171</w:t>
            </w:r>
          </w:p>
        </w:tc>
      </w:tr>
      <w:tr w:rsidR="002843F6" w:rsidRPr="00650EA9" w14:paraId="04FA216B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283C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Serum albumin, g/dL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F6CFB2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2.58 ± 0.50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8ACE7B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2.61 ± 0.78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E20376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0.869</w:t>
            </w:r>
          </w:p>
        </w:tc>
      </w:tr>
      <w:tr w:rsidR="002843F6" w:rsidRPr="00650EA9" w14:paraId="684CF67B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0C5C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INR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108789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2.74 ± 1.34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2C729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2.41 ± 1.57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1356413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0.502</w:t>
            </w:r>
          </w:p>
        </w:tc>
      </w:tr>
      <w:tr w:rsidR="002843F6" w:rsidRPr="00650EA9" w14:paraId="72140434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8B4C2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MELD-Na score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5B5BC7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34.15 ± 6.63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DCD150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29.60 ± 7.73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D56B2BF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0.070</w:t>
            </w:r>
          </w:p>
        </w:tc>
      </w:tr>
      <w:tr w:rsidR="002843F6" w:rsidRPr="00650EA9" w14:paraId="59EAF66F" w14:textId="77777777" w:rsidTr="00A716E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22F49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Baseline mannose, µmol/mL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CC8AD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17.0 (15.0-27.3)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B87C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30.6 (19.6-50.1)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9151C4A" w14:textId="77777777" w:rsidR="002843F6" w:rsidRPr="00650EA9" w:rsidRDefault="002843F6" w:rsidP="00A71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A9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0.030</w:t>
            </w:r>
          </w:p>
        </w:tc>
      </w:tr>
    </w:tbl>
    <w:p w14:paraId="25FCD8F7" w14:textId="77777777" w:rsidR="002843F6" w:rsidRPr="00650EA9" w:rsidRDefault="002843F6" w:rsidP="002843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1C50FF" w14:textId="77777777" w:rsidR="002843F6" w:rsidRPr="00650EA9" w:rsidRDefault="002843F6" w:rsidP="002843F6">
      <w:pPr>
        <w:spacing w:after="2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EA9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Abbreviations: INR, international normalized ratio; MELD-Na, Model for End-Stage Liver Disease-Sodium. Data are presented as mean ± SD, median (interquartile range), or No. (%). Outcome comparison excludes patients who left against medical advice.  </w:t>
      </w:r>
    </w:p>
    <w:p w14:paraId="095C3B9A" w14:textId="77777777" w:rsidR="002843F6" w:rsidRPr="00650EA9" w:rsidRDefault="002843F6" w:rsidP="002843F6">
      <w:pPr>
        <w:spacing w:before="315" w:after="105" w:line="360" w:lineRule="auto"/>
        <w:ind w:left="-30"/>
        <w:jc w:val="both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</w:p>
    <w:p w14:paraId="32674B41" w14:textId="77777777" w:rsidR="002843F6" w:rsidRPr="00650EA9" w:rsidRDefault="002843F6" w:rsidP="002843F6">
      <w:pPr>
        <w:spacing w:before="315" w:after="105" w:line="360" w:lineRule="auto"/>
        <w:ind w:left="-30"/>
        <w:jc w:val="both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</w:p>
    <w:p w14:paraId="4B730E65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F6"/>
    <w:rsid w:val="000B07E8"/>
    <w:rsid w:val="000C4033"/>
    <w:rsid w:val="00173ED8"/>
    <w:rsid w:val="002843F6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F880D"/>
  <w15:chartTrackingRefBased/>
  <w15:docId w15:val="{CEE990F5-3DB6-4EFA-BEE3-C50FE3F7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3F6"/>
    <w:pPr>
      <w:spacing w:after="120" w:line="240" w:lineRule="atLeast"/>
    </w:pPr>
    <w:rPr>
      <w:rFonts w:ascii="Georgia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3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3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3F6"/>
    <w:pPr>
      <w:keepNext/>
      <w:keepLines/>
      <w:spacing w:before="160" w:after="80" w:line="278" w:lineRule="auto"/>
      <w:outlineLvl w:val="2"/>
    </w:pPr>
    <w:rPr>
      <w:rFonts w:asciiTheme="minorHAnsi"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3F6"/>
    <w:pPr>
      <w:keepNext/>
      <w:keepLines/>
      <w:spacing w:before="80" w:after="40" w:line="278" w:lineRule="auto"/>
      <w:outlineLvl w:val="3"/>
    </w:pPr>
    <w:rPr>
      <w:rFonts w:asciiTheme="minorHAnsi"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3F6"/>
    <w:pPr>
      <w:keepNext/>
      <w:keepLines/>
      <w:spacing w:before="80" w:after="40" w:line="278" w:lineRule="auto"/>
      <w:outlineLvl w:val="4"/>
    </w:pPr>
    <w:rPr>
      <w:rFonts w:asciiTheme="minorHAnsi"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3F6"/>
    <w:pPr>
      <w:keepNext/>
      <w:keepLines/>
      <w:spacing w:before="40" w:after="0" w:line="278" w:lineRule="auto"/>
      <w:outlineLvl w:val="5"/>
    </w:pPr>
    <w:rPr>
      <w:rFonts w:asciiTheme="minorHAnsi"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3F6"/>
    <w:pPr>
      <w:keepNext/>
      <w:keepLines/>
      <w:spacing w:before="40" w:after="0" w:line="278" w:lineRule="auto"/>
      <w:outlineLvl w:val="6"/>
    </w:pPr>
    <w:rPr>
      <w:rFonts w:asciiTheme="minorHAnsi"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3F6"/>
    <w:pPr>
      <w:keepNext/>
      <w:keepLines/>
      <w:spacing w:after="0" w:line="278" w:lineRule="auto"/>
      <w:outlineLvl w:val="7"/>
    </w:pPr>
    <w:rPr>
      <w:rFonts w:asciiTheme="minorHAnsi"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3F6"/>
    <w:pPr>
      <w:keepNext/>
      <w:keepLines/>
      <w:spacing w:after="0" w:line="278" w:lineRule="auto"/>
      <w:outlineLvl w:val="8"/>
    </w:pPr>
    <w:rPr>
      <w:rFonts w:asciiTheme="minorHAnsi"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3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3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3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3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3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4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3F6"/>
    <w:pPr>
      <w:numPr>
        <w:ilvl w:val="1"/>
      </w:numPr>
      <w:spacing w:after="160" w:line="278" w:lineRule="auto"/>
    </w:pPr>
    <w:rPr>
      <w:rFonts w:asciiTheme="minorHAnsi"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4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3F6"/>
    <w:pPr>
      <w:spacing w:before="160" w:after="160" w:line="278" w:lineRule="auto"/>
      <w:jc w:val="center"/>
    </w:pPr>
    <w:rPr>
      <w:rFonts w:asci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4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3F6"/>
    <w:pPr>
      <w:spacing w:after="160" w:line="278" w:lineRule="auto"/>
      <w:ind w:left="720"/>
      <w:contextualSpacing/>
    </w:pPr>
    <w:rPr>
      <w:rFonts w:asci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4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3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3F6"/>
    <w:rPr>
      <w:b/>
      <w:bCs/>
      <w:smallCaps/>
      <w:color w:val="0F4761" w:themeColor="accent1" w:themeShade="BF"/>
      <w:spacing w:val="5"/>
    </w:rPr>
  </w:style>
  <w:style w:type="table" w:customStyle="1" w:styleId="NormalGrid">
    <w:name w:val="Normal Grid"/>
    <w:basedOn w:val="TableNormal"/>
    <w:uiPriority w:val="39"/>
    <w:rsid w:val="002843F6"/>
    <w:pPr>
      <w:spacing w:after="0" w:line="240" w:lineRule="auto"/>
    </w:pPr>
    <w:rPr>
      <w:rFonts w:ascii="Georgia"/>
      <w:kern w:val="0"/>
      <w:sz w:val="21"/>
      <w:szCs w:val="22"/>
      <w:lang w:val="en-US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2026-09-02T12:27:00Z</dcterms:created>
  <dcterms:modified xsi:type="dcterms:W3CDTF">2026-09-02T12:27:00Z</dcterms:modified>
</cp:coreProperties>
</file>