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48130">
      <w:pPr>
        <w:spacing w:line="480" w:lineRule="auto"/>
        <w:rPr>
          <w:rFonts w:hint="eastAsia" w:ascii="Times New Roman" w:hAnsi="Times New Roman" w:cs="Times New Roman"/>
          <w:sz w:val="24"/>
          <w:lang w:val="en-US" w:eastAsia="zh-CN"/>
        </w:rPr>
      </w:pPr>
      <w:r>
        <w:rPr>
          <w:rFonts w:hint="eastAsia"/>
          <w:b/>
          <w:bCs/>
        </w:rPr>
        <w:t xml:space="preserve">Supplementary Table </w:t>
      </w:r>
      <w:r>
        <w:rPr>
          <w:rFonts w:hint="eastAsia" w:eastAsia="宋体"/>
          <w:b/>
          <w:bCs/>
          <w:lang w:val="en-US" w:eastAsia="zh-CN"/>
        </w:rPr>
        <w:t>S1</w:t>
      </w:r>
      <w:r>
        <w:rPr>
          <w:rFonts w:hint="eastAsia"/>
        </w:rPr>
        <w:t xml:space="preserve">. </w:t>
      </w:r>
      <w:r>
        <w:rPr>
          <w:rFonts w:hint="eastAsia" w:ascii="Times New Roman" w:hAnsi="Times New Roman" w:cs="Times New Roman"/>
          <w:sz w:val="24"/>
        </w:rPr>
        <w:t>Sensitivity analysis of METS-VF and incident stroke based on multiple imputation and complete case analysis (Cox regression models).</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2551"/>
        <w:gridCol w:w="1361"/>
        <w:gridCol w:w="2551"/>
        <w:gridCol w:w="1361"/>
      </w:tblGrid>
      <w:tr w14:paraId="3CE9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1" w:type="dxa"/>
            <w:tcBorders>
              <w:top w:val="single" w:color="auto" w:sz="4" w:space="0"/>
              <w:left w:val="nil"/>
              <w:bottom w:val="single" w:color="auto" w:sz="4" w:space="0"/>
              <w:right w:val="nil"/>
            </w:tcBorders>
            <w:vAlign w:val="top"/>
          </w:tcPr>
          <w:p w14:paraId="5D8FFF59">
            <w:pPr>
              <w:widowControl w:val="0"/>
              <w:spacing w:after="0" w:line="240" w:lineRule="auto"/>
              <w:jc w:val="center"/>
              <w:rPr>
                <w:rFonts w:hint="eastAsia" w:ascii="Times New Roman" w:hAnsi="Times New Roman" w:cs="Times New Roman"/>
                <w:b/>
                <w:bCs/>
                <w:kern w:val="2"/>
                <w:sz w:val="24"/>
                <w:szCs w:val="24"/>
                <w:lang w:eastAsia="zh-CN"/>
              </w:rPr>
            </w:pPr>
            <w:r>
              <w:rPr>
                <w:rFonts w:hint="eastAsia" w:ascii="Times New Roman" w:hAnsi="Times New Roman" w:cs="Times New Roman"/>
                <w:b/>
                <w:bCs/>
                <w:kern w:val="2"/>
                <w:sz w:val="24"/>
                <w:szCs w:val="24"/>
                <w:lang w:eastAsia="zh-CN"/>
              </w:rPr>
              <w:t xml:space="preserve">METS-VF </w:t>
            </w:r>
          </w:p>
        </w:tc>
        <w:tc>
          <w:tcPr>
            <w:tcW w:w="2551" w:type="dxa"/>
            <w:tcBorders>
              <w:top w:val="single" w:color="auto" w:sz="4" w:space="0"/>
              <w:left w:val="nil"/>
              <w:bottom w:val="single" w:color="auto" w:sz="4" w:space="0"/>
              <w:right w:val="nil"/>
            </w:tcBorders>
            <w:vAlign w:val="top"/>
          </w:tcPr>
          <w:p w14:paraId="7134D364">
            <w:pPr>
              <w:widowControl w:val="0"/>
              <w:spacing w:after="0" w:line="240" w:lineRule="auto"/>
              <w:jc w:val="center"/>
              <w:rPr>
                <w:rFonts w:hint="eastAsia" w:ascii="Times New Roman" w:hAnsi="Times New Roman" w:cs="Times New Roman"/>
                <w:b/>
                <w:bCs/>
                <w:kern w:val="2"/>
                <w:sz w:val="24"/>
                <w:szCs w:val="24"/>
                <w:lang w:eastAsia="zh-CN"/>
              </w:rPr>
            </w:pPr>
            <w:r>
              <w:rPr>
                <w:rFonts w:hint="eastAsia" w:ascii="Times New Roman" w:hAnsi="Times New Roman" w:cs="Times New Roman"/>
                <w:b/>
                <w:bCs/>
                <w:kern w:val="2"/>
                <w:sz w:val="24"/>
                <w:szCs w:val="24"/>
                <w:lang w:eastAsia="zh-CN"/>
              </w:rPr>
              <w:t>Multiple imputation analysis</w:t>
            </w:r>
          </w:p>
        </w:tc>
        <w:tc>
          <w:tcPr>
            <w:tcW w:w="1361" w:type="dxa"/>
            <w:tcBorders>
              <w:top w:val="single" w:color="auto" w:sz="4" w:space="0"/>
              <w:left w:val="nil"/>
              <w:bottom w:val="single" w:color="auto" w:sz="4" w:space="0"/>
              <w:right w:val="nil"/>
            </w:tcBorders>
            <w:vAlign w:val="top"/>
          </w:tcPr>
          <w:p w14:paraId="6D3E7B4D">
            <w:pPr>
              <w:widowControl w:val="0"/>
              <w:spacing w:after="0" w:line="240" w:lineRule="auto"/>
              <w:jc w:val="center"/>
              <w:rPr>
                <w:rFonts w:hint="eastAsia" w:ascii="Times New Roman" w:hAnsi="Times New Roman" w:cs="Times New Roman"/>
                <w:b/>
                <w:bCs/>
                <w:kern w:val="2"/>
                <w:sz w:val="24"/>
                <w:szCs w:val="24"/>
                <w:lang w:eastAsia="zh-CN"/>
              </w:rPr>
            </w:pPr>
          </w:p>
        </w:tc>
        <w:tc>
          <w:tcPr>
            <w:tcW w:w="2551" w:type="dxa"/>
            <w:tcBorders>
              <w:top w:val="single" w:color="auto" w:sz="4" w:space="0"/>
              <w:left w:val="nil"/>
              <w:bottom w:val="single" w:color="auto" w:sz="4" w:space="0"/>
              <w:right w:val="nil"/>
            </w:tcBorders>
            <w:vAlign w:val="top"/>
          </w:tcPr>
          <w:p w14:paraId="1A0B06CF">
            <w:pPr>
              <w:widowControl w:val="0"/>
              <w:spacing w:after="0" w:line="240" w:lineRule="auto"/>
              <w:jc w:val="center"/>
              <w:rPr>
                <w:rFonts w:hint="eastAsia" w:ascii="Times New Roman" w:hAnsi="Times New Roman" w:cs="Times New Roman"/>
                <w:b/>
                <w:bCs/>
                <w:kern w:val="2"/>
                <w:sz w:val="24"/>
                <w:szCs w:val="24"/>
                <w:lang w:eastAsia="zh-CN"/>
              </w:rPr>
            </w:pPr>
            <w:r>
              <w:rPr>
                <w:rFonts w:hint="eastAsia" w:ascii="Times New Roman" w:hAnsi="Times New Roman" w:cs="Times New Roman"/>
                <w:b/>
                <w:bCs/>
                <w:kern w:val="2"/>
                <w:sz w:val="24"/>
                <w:szCs w:val="24"/>
                <w:lang w:eastAsia="zh-CN"/>
              </w:rPr>
              <w:t>Complete case analysis</w:t>
            </w:r>
          </w:p>
        </w:tc>
        <w:tc>
          <w:tcPr>
            <w:tcW w:w="1361" w:type="dxa"/>
            <w:tcBorders>
              <w:top w:val="single" w:color="auto" w:sz="4" w:space="0"/>
              <w:left w:val="nil"/>
              <w:bottom w:val="single" w:color="auto" w:sz="4" w:space="0"/>
              <w:right w:val="nil"/>
            </w:tcBorders>
            <w:vAlign w:val="top"/>
          </w:tcPr>
          <w:p w14:paraId="6640B09F">
            <w:pPr>
              <w:widowControl w:val="0"/>
              <w:spacing w:after="0" w:line="240" w:lineRule="auto"/>
              <w:jc w:val="center"/>
              <w:rPr>
                <w:rFonts w:hint="eastAsia" w:ascii="Times New Roman" w:hAnsi="Times New Roman" w:cs="Times New Roman"/>
                <w:b w:val="0"/>
                <w:bCs w:val="0"/>
                <w:kern w:val="2"/>
                <w:sz w:val="24"/>
                <w:szCs w:val="24"/>
                <w:lang w:eastAsia="zh-CN"/>
              </w:rPr>
            </w:pPr>
          </w:p>
        </w:tc>
      </w:tr>
      <w:tr w14:paraId="6D08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1" w:type="dxa"/>
            <w:tcBorders>
              <w:top w:val="single" w:color="auto" w:sz="4" w:space="0"/>
              <w:left w:val="nil"/>
              <w:bottom w:val="nil"/>
              <w:right w:val="nil"/>
            </w:tcBorders>
          </w:tcPr>
          <w:p w14:paraId="675F780E">
            <w:pPr>
              <w:widowControl w:val="0"/>
              <w:spacing w:after="0" w:line="240" w:lineRule="auto"/>
              <w:jc w:val="center"/>
              <w:rPr>
                <w:rFonts w:hint="eastAsia" w:ascii="Times New Roman" w:hAnsi="Times New Roman" w:cs="Times New Roman"/>
                <w:b w:val="0"/>
                <w:bCs w:val="0"/>
                <w:kern w:val="2"/>
                <w:sz w:val="24"/>
                <w:szCs w:val="24"/>
                <w:lang w:eastAsia="zh-CN"/>
              </w:rPr>
            </w:pPr>
          </w:p>
        </w:tc>
        <w:tc>
          <w:tcPr>
            <w:tcW w:w="2551" w:type="dxa"/>
            <w:tcBorders>
              <w:top w:val="single" w:color="auto" w:sz="4" w:space="0"/>
              <w:left w:val="nil"/>
              <w:bottom w:val="nil"/>
              <w:right w:val="nil"/>
            </w:tcBorders>
          </w:tcPr>
          <w:p w14:paraId="41979373">
            <w:pPr>
              <w:widowControl w:val="0"/>
              <w:spacing w:after="0" w:line="240" w:lineRule="auto"/>
              <w:jc w:val="center"/>
              <w:rPr>
                <w:rFonts w:hint="eastAsia" w:ascii="Times New Roman" w:hAnsi="Times New Roman" w:cs="Times New Roman"/>
                <w:b/>
                <w:bCs/>
                <w:kern w:val="2"/>
                <w:sz w:val="24"/>
                <w:szCs w:val="24"/>
                <w:lang w:eastAsia="zh-CN"/>
              </w:rPr>
            </w:pPr>
            <w:r>
              <w:rPr>
                <w:rFonts w:hint="eastAsia" w:ascii="Times New Roman" w:hAnsi="Times New Roman" w:cs="Times New Roman"/>
                <w:b/>
                <w:bCs/>
                <w:kern w:val="2"/>
                <w:sz w:val="24"/>
                <w:szCs w:val="24"/>
                <w:lang w:eastAsia="zh-CN"/>
              </w:rPr>
              <w:t>HR (95% CI)</w:t>
            </w:r>
          </w:p>
        </w:tc>
        <w:tc>
          <w:tcPr>
            <w:tcW w:w="1361" w:type="dxa"/>
            <w:tcBorders>
              <w:top w:val="single" w:color="auto" w:sz="4" w:space="0"/>
              <w:left w:val="nil"/>
              <w:bottom w:val="nil"/>
              <w:right w:val="nil"/>
            </w:tcBorders>
          </w:tcPr>
          <w:p w14:paraId="430CC249">
            <w:pPr>
              <w:widowControl w:val="0"/>
              <w:spacing w:after="0" w:line="240" w:lineRule="auto"/>
              <w:jc w:val="center"/>
              <w:rPr>
                <w:rFonts w:hint="eastAsia" w:ascii="Times New Roman" w:hAnsi="Times New Roman" w:cs="Times New Roman"/>
                <w:b/>
                <w:bCs/>
                <w:kern w:val="2"/>
                <w:sz w:val="24"/>
                <w:szCs w:val="24"/>
                <w:lang w:eastAsia="zh-CN"/>
              </w:rPr>
            </w:pPr>
            <w:r>
              <w:rPr>
                <w:rFonts w:hint="eastAsia" w:ascii="Times New Roman" w:hAnsi="Times New Roman" w:cs="Times New Roman"/>
                <w:b/>
                <w:bCs/>
                <w:kern w:val="2"/>
                <w:sz w:val="24"/>
                <w:szCs w:val="24"/>
                <w:lang w:eastAsia="zh-CN"/>
              </w:rPr>
              <w:t>P value</w:t>
            </w:r>
          </w:p>
        </w:tc>
        <w:tc>
          <w:tcPr>
            <w:tcW w:w="2551" w:type="dxa"/>
            <w:tcBorders>
              <w:top w:val="single" w:color="auto" w:sz="4" w:space="0"/>
              <w:left w:val="nil"/>
              <w:bottom w:val="nil"/>
              <w:right w:val="nil"/>
            </w:tcBorders>
          </w:tcPr>
          <w:p w14:paraId="2BC2F1F4">
            <w:pPr>
              <w:widowControl w:val="0"/>
              <w:spacing w:after="0" w:line="240" w:lineRule="auto"/>
              <w:jc w:val="center"/>
              <w:rPr>
                <w:rFonts w:hint="eastAsia" w:ascii="Times New Roman" w:hAnsi="Times New Roman" w:cs="Times New Roman"/>
                <w:b/>
                <w:bCs/>
                <w:kern w:val="2"/>
                <w:sz w:val="24"/>
                <w:szCs w:val="24"/>
                <w:lang w:eastAsia="zh-CN"/>
              </w:rPr>
            </w:pPr>
            <w:r>
              <w:rPr>
                <w:rFonts w:hint="eastAsia" w:ascii="Times New Roman" w:hAnsi="Times New Roman" w:cs="Times New Roman"/>
                <w:b/>
                <w:bCs/>
                <w:kern w:val="2"/>
                <w:sz w:val="24"/>
                <w:szCs w:val="24"/>
                <w:lang w:eastAsia="zh-CN"/>
              </w:rPr>
              <w:t>HR (95% CI)</w:t>
            </w:r>
          </w:p>
        </w:tc>
        <w:tc>
          <w:tcPr>
            <w:tcW w:w="1361" w:type="dxa"/>
            <w:tcBorders>
              <w:top w:val="single" w:color="auto" w:sz="4" w:space="0"/>
              <w:left w:val="nil"/>
              <w:bottom w:val="nil"/>
              <w:right w:val="nil"/>
            </w:tcBorders>
          </w:tcPr>
          <w:p w14:paraId="595A5E1B">
            <w:pPr>
              <w:widowControl w:val="0"/>
              <w:spacing w:after="0" w:line="240" w:lineRule="auto"/>
              <w:jc w:val="center"/>
              <w:rPr>
                <w:rFonts w:hint="eastAsia" w:ascii="Times New Roman" w:hAnsi="Times New Roman" w:cs="Times New Roman"/>
                <w:b/>
                <w:bCs/>
                <w:kern w:val="2"/>
                <w:sz w:val="24"/>
                <w:szCs w:val="24"/>
                <w:lang w:eastAsia="zh-CN"/>
              </w:rPr>
            </w:pPr>
            <w:r>
              <w:rPr>
                <w:rFonts w:hint="eastAsia" w:ascii="Times New Roman" w:hAnsi="Times New Roman" w:cs="Times New Roman"/>
                <w:b/>
                <w:bCs/>
                <w:kern w:val="2"/>
                <w:sz w:val="24"/>
                <w:szCs w:val="24"/>
                <w:lang w:eastAsia="zh-CN"/>
              </w:rPr>
              <w:t>P value</w:t>
            </w:r>
          </w:p>
        </w:tc>
      </w:tr>
      <w:tr w14:paraId="3F02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1" w:type="dxa"/>
            <w:tcBorders>
              <w:top w:val="nil"/>
              <w:left w:val="nil"/>
              <w:bottom w:val="nil"/>
              <w:right w:val="nil"/>
            </w:tcBorders>
          </w:tcPr>
          <w:p w14:paraId="06031E31">
            <w:pPr>
              <w:widowControl w:val="0"/>
              <w:spacing w:after="0" w:line="240" w:lineRule="auto"/>
              <w:jc w:val="left"/>
              <w:rPr>
                <w:rFonts w:hint="eastAsia" w:ascii="Times New Roman" w:hAnsi="Times New Roman" w:cs="Times New Roman"/>
                <w:b/>
                <w:bCs/>
                <w:kern w:val="2"/>
                <w:sz w:val="24"/>
                <w:szCs w:val="24"/>
                <w:lang w:eastAsia="zh-CN"/>
              </w:rPr>
            </w:pPr>
            <w:r>
              <w:rPr>
                <w:rFonts w:hint="eastAsia" w:ascii="Times New Roman" w:hAnsi="Times New Roman" w:cs="Times New Roman"/>
                <w:b/>
                <w:bCs/>
                <w:kern w:val="2"/>
                <w:sz w:val="24"/>
                <w:szCs w:val="24"/>
                <w:lang w:eastAsia="zh-CN"/>
              </w:rPr>
              <w:t>Q1 (Ref)</w:t>
            </w:r>
          </w:p>
        </w:tc>
        <w:tc>
          <w:tcPr>
            <w:tcW w:w="2551" w:type="dxa"/>
            <w:tcBorders>
              <w:top w:val="nil"/>
              <w:left w:val="nil"/>
              <w:bottom w:val="nil"/>
              <w:right w:val="nil"/>
            </w:tcBorders>
          </w:tcPr>
          <w:p w14:paraId="37CEC349">
            <w:pPr>
              <w:widowControl w:val="0"/>
              <w:spacing w:after="0" w:line="240" w:lineRule="auto"/>
              <w:jc w:val="center"/>
              <w:rPr>
                <w:rFonts w:hint="eastAsia" w:ascii="Times New Roman" w:hAnsi="Times New Roman" w:cs="Times New Roman"/>
                <w:b w:val="0"/>
                <w:bCs w:val="0"/>
                <w:kern w:val="2"/>
                <w:sz w:val="24"/>
                <w:szCs w:val="24"/>
                <w:lang w:eastAsia="zh-CN"/>
              </w:rPr>
            </w:pPr>
            <w:r>
              <w:rPr>
                <w:rFonts w:hint="eastAsia" w:ascii="Times New Roman" w:hAnsi="Times New Roman" w:cs="Times New Roman"/>
                <w:b w:val="0"/>
                <w:bCs w:val="0"/>
                <w:kern w:val="2"/>
                <w:sz w:val="24"/>
                <w:szCs w:val="24"/>
                <w:lang w:eastAsia="zh-CN"/>
              </w:rPr>
              <w:t>1.00</w:t>
            </w:r>
          </w:p>
        </w:tc>
        <w:tc>
          <w:tcPr>
            <w:tcW w:w="1361" w:type="dxa"/>
            <w:tcBorders>
              <w:top w:val="nil"/>
              <w:left w:val="nil"/>
              <w:bottom w:val="nil"/>
              <w:right w:val="nil"/>
            </w:tcBorders>
          </w:tcPr>
          <w:p w14:paraId="48C62A7D">
            <w:pPr>
              <w:widowControl w:val="0"/>
              <w:spacing w:after="0" w:line="240" w:lineRule="auto"/>
              <w:jc w:val="center"/>
              <w:rPr>
                <w:rFonts w:hint="eastAsia" w:ascii="Times New Roman" w:hAnsi="Times New Roman" w:cs="Times New Roman"/>
                <w:b w:val="0"/>
                <w:bCs w:val="0"/>
                <w:kern w:val="2"/>
                <w:sz w:val="24"/>
                <w:szCs w:val="24"/>
                <w:lang w:eastAsia="zh-CN"/>
              </w:rPr>
            </w:pPr>
          </w:p>
        </w:tc>
        <w:tc>
          <w:tcPr>
            <w:tcW w:w="2551" w:type="dxa"/>
            <w:tcBorders>
              <w:top w:val="nil"/>
              <w:left w:val="nil"/>
              <w:bottom w:val="nil"/>
              <w:right w:val="nil"/>
            </w:tcBorders>
          </w:tcPr>
          <w:p w14:paraId="57D5A26E">
            <w:pPr>
              <w:widowControl w:val="0"/>
              <w:spacing w:after="0" w:line="240" w:lineRule="auto"/>
              <w:jc w:val="center"/>
              <w:rPr>
                <w:rFonts w:hint="eastAsia" w:ascii="Times New Roman" w:hAnsi="Times New Roman" w:cs="Times New Roman"/>
                <w:b w:val="0"/>
                <w:bCs w:val="0"/>
                <w:kern w:val="2"/>
                <w:sz w:val="24"/>
                <w:szCs w:val="24"/>
                <w:lang w:eastAsia="zh-CN"/>
              </w:rPr>
            </w:pPr>
            <w:r>
              <w:rPr>
                <w:rFonts w:hint="eastAsia" w:ascii="Times New Roman" w:hAnsi="Times New Roman" w:cs="Times New Roman"/>
                <w:b w:val="0"/>
                <w:bCs w:val="0"/>
                <w:kern w:val="2"/>
                <w:sz w:val="24"/>
                <w:szCs w:val="24"/>
                <w:lang w:eastAsia="zh-CN"/>
              </w:rPr>
              <w:t>1.00</w:t>
            </w:r>
          </w:p>
        </w:tc>
        <w:tc>
          <w:tcPr>
            <w:tcW w:w="1361" w:type="dxa"/>
            <w:tcBorders>
              <w:top w:val="nil"/>
              <w:left w:val="nil"/>
              <w:bottom w:val="nil"/>
              <w:right w:val="nil"/>
            </w:tcBorders>
          </w:tcPr>
          <w:p w14:paraId="1A69CCD2">
            <w:pPr>
              <w:widowControl w:val="0"/>
              <w:spacing w:after="0" w:line="240" w:lineRule="auto"/>
              <w:jc w:val="center"/>
              <w:rPr>
                <w:rFonts w:hint="eastAsia" w:ascii="Times New Roman" w:hAnsi="Times New Roman" w:cs="Times New Roman"/>
                <w:b w:val="0"/>
                <w:bCs w:val="0"/>
                <w:kern w:val="2"/>
                <w:sz w:val="24"/>
                <w:szCs w:val="24"/>
                <w:lang w:eastAsia="zh-CN"/>
              </w:rPr>
            </w:pPr>
          </w:p>
        </w:tc>
      </w:tr>
      <w:tr w14:paraId="2C76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1" w:type="dxa"/>
            <w:tcBorders>
              <w:top w:val="nil"/>
              <w:left w:val="nil"/>
              <w:bottom w:val="nil"/>
              <w:right w:val="nil"/>
            </w:tcBorders>
          </w:tcPr>
          <w:p w14:paraId="02A90260">
            <w:pPr>
              <w:widowControl w:val="0"/>
              <w:spacing w:after="0" w:line="240" w:lineRule="auto"/>
              <w:jc w:val="left"/>
              <w:rPr>
                <w:rFonts w:hint="eastAsia" w:ascii="Times New Roman" w:hAnsi="Times New Roman" w:cs="Times New Roman"/>
                <w:b/>
                <w:bCs/>
                <w:kern w:val="2"/>
                <w:sz w:val="24"/>
                <w:szCs w:val="24"/>
                <w:lang w:eastAsia="zh-CN"/>
              </w:rPr>
            </w:pPr>
            <w:r>
              <w:rPr>
                <w:rFonts w:hint="eastAsia" w:ascii="Times New Roman" w:hAnsi="Times New Roman" w:cs="Times New Roman"/>
                <w:b/>
                <w:bCs/>
                <w:kern w:val="2"/>
                <w:sz w:val="24"/>
                <w:szCs w:val="24"/>
                <w:lang w:eastAsia="zh-CN"/>
              </w:rPr>
              <w:t>Q2</w:t>
            </w:r>
          </w:p>
        </w:tc>
        <w:tc>
          <w:tcPr>
            <w:tcW w:w="2551" w:type="dxa"/>
            <w:tcBorders>
              <w:top w:val="nil"/>
              <w:left w:val="nil"/>
              <w:bottom w:val="nil"/>
              <w:right w:val="nil"/>
            </w:tcBorders>
          </w:tcPr>
          <w:p w14:paraId="7052346C">
            <w:pPr>
              <w:widowControl w:val="0"/>
              <w:spacing w:after="0" w:line="240" w:lineRule="auto"/>
              <w:jc w:val="center"/>
              <w:rPr>
                <w:rFonts w:hint="eastAsia" w:ascii="Times New Roman" w:hAnsi="Times New Roman" w:cs="Times New Roman"/>
                <w:b w:val="0"/>
                <w:bCs w:val="0"/>
                <w:kern w:val="2"/>
                <w:sz w:val="24"/>
                <w:szCs w:val="24"/>
                <w:lang w:eastAsia="zh-CN"/>
              </w:rPr>
            </w:pPr>
            <w:r>
              <w:rPr>
                <w:rFonts w:hint="eastAsia" w:ascii="Times New Roman" w:hAnsi="Times New Roman" w:cs="Times New Roman"/>
                <w:b w:val="0"/>
                <w:bCs w:val="0"/>
                <w:kern w:val="2"/>
                <w:sz w:val="24"/>
                <w:szCs w:val="24"/>
                <w:lang w:eastAsia="zh-CN"/>
              </w:rPr>
              <w:t>1.2</w:t>
            </w:r>
            <w:r>
              <w:rPr>
                <w:rFonts w:hint="eastAsia" w:ascii="Times New Roman" w:hAnsi="Times New Roman" w:cs="Times New Roman"/>
                <w:b w:val="0"/>
                <w:bCs w:val="0"/>
                <w:kern w:val="2"/>
                <w:sz w:val="24"/>
                <w:szCs w:val="24"/>
                <w:lang w:val="en-US" w:eastAsia="zh-CN"/>
              </w:rPr>
              <w:t>3</w:t>
            </w:r>
            <w:r>
              <w:rPr>
                <w:rFonts w:hint="eastAsia" w:ascii="Times New Roman" w:hAnsi="Times New Roman" w:cs="Times New Roman"/>
                <w:b w:val="0"/>
                <w:bCs w:val="0"/>
                <w:kern w:val="2"/>
                <w:sz w:val="24"/>
                <w:szCs w:val="24"/>
                <w:lang w:eastAsia="zh-CN"/>
              </w:rPr>
              <w:t xml:space="preserve"> (0.9</w:t>
            </w:r>
            <w:r>
              <w:rPr>
                <w:rFonts w:hint="eastAsia" w:ascii="Times New Roman" w:hAnsi="Times New Roman" w:cs="Times New Roman"/>
                <w:b w:val="0"/>
                <w:bCs w:val="0"/>
                <w:kern w:val="2"/>
                <w:sz w:val="24"/>
                <w:szCs w:val="24"/>
                <w:lang w:val="en-US" w:eastAsia="zh-CN"/>
              </w:rPr>
              <w:t>0</w:t>
            </w:r>
            <w:r>
              <w:rPr>
                <w:rFonts w:hint="eastAsia" w:ascii="Times New Roman" w:hAnsi="Times New Roman" w:cs="Times New Roman"/>
                <w:b w:val="0"/>
                <w:bCs w:val="0"/>
                <w:kern w:val="2"/>
                <w:sz w:val="24"/>
                <w:szCs w:val="24"/>
                <w:lang w:eastAsia="zh-CN"/>
              </w:rPr>
              <w:t>–1.</w:t>
            </w:r>
            <w:r>
              <w:rPr>
                <w:rFonts w:hint="eastAsia" w:ascii="Times New Roman" w:hAnsi="Times New Roman" w:cs="Times New Roman"/>
                <w:b w:val="0"/>
                <w:bCs w:val="0"/>
                <w:kern w:val="2"/>
                <w:sz w:val="24"/>
                <w:szCs w:val="24"/>
                <w:lang w:val="en-US" w:eastAsia="zh-CN"/>
              </w:rPr>
              <w:t>69</w:t>
            </w:r>
            <w:r>
              <w:rPr>
                <w:rFonts w:hint="eastAsia" w:ascii="Times New Roman" w:hAnsi="Times New Roman" w:cs="Times New Roman"/>
                <w:b w:val="0"/>
                <w:bCs w:val="0"/>
                <w:kern w:val="2"/>
                <w:sz w:val="24"/>
                <w:szCs w:val="24"/>
                <w:lang w:eastAsia="zh-CN"/>
              </w:rPr>
              <w:t>)</w:t>
            </w:r>
          </w:p>
        </w:tc>
        <w:tc>
          <w:tcPr>
            <w:tcW w:w="1361" w:type="dxa"/>
            <w:tcBorders>
              <w:top w:val="nil"/>
              <w:left w:val="nil"/>
              <w:bottom w:val="nil"/>
              <w:right w:val="nil"/>
            </w:tcBorders>
          </w:tcPr>
          <w:p w14:paraId="671D602C">
            <w:pPr>
              <w:widowControl w:val="0"/>
              <w:spacing w:after="0" w:line="240" w:lineRule="auto"/>
              <w:jc w:val="center"/>
              <w:rPr>
                <w:rFonts w:hint="eastAsia" w:ascii="Times New Roman" w:hAnsi="Times New Roman" w:cs="Times New Roman"/>
                <w:b w:val="0"/>
                <w:bCs w:val="0"/>
                <w:kern w:val="2"/>
                <w:sz w:val="24"/>
                <w:szCs w:val="24"/>
                <w:lang w:val="en-US" w:eastAsia="zh-CN"/>
              </w:rPr>
            </w:pPr>
            <w:r>
              <w:rPr>
                <w:rFonts w:hint="eastAsia" w:ascii="Times New Roman" w:hAnsi="Times New Roman" w:cs="Times New Roman"/>
                <w:b w:val="0"/>
                <w:bCs w:val="0"/>
                <w:kern w:val="2"/>
                <w:sz w:val="24"/>
                <w:szCs w:val="24"/>
                <w:lang w:eastAsia="zh-CN"/>
              </w:rPr>
              <w:t>0.1</w:t>
            </w:r>
            <w:r>
              <w:rPr>
                <w:rFonts w:hint="eastAsia" w:ascii="Times New Roman" w:hAnsi="Times New Roman" w:cs="Times New Roman"/>
                <w:b w:val="0"/>
                <w:bCs w:val="0"/>
                <w:kern w:val="2"/>
                <w:sz w:val="24"/>
                <w:szCs w:val="24"/>
                <w:lang w:val="en-US" w:eastAsia="zh-CN"/>
              </w:rPr>
              <w:t>9</w:t>
            </w:r>
          </w:p>
        </w:tc>
        <w:tc>
          <w:tcPr>
            <w:tcW w:w="2551" w:type="dxa"/>
            <w:tcBorders>
              <w:top w:val="nil"/>
              <w:left w:val="nil"/>
              <w:bottom w:val="nil"/>
              <w:right w:val="nil"/>
            </w:tcBorders>
          </w:tcPr>
          <w:p w14:paraId="29DDFF9F">
            <w:pPr>
              <w:widowControl w:val="0"/>
              <w:spacing w:after="0" w:line="240" w:lineRule="auto"/>
              <w:jc w:val="center"/>
              <w:rPr>
                <w:rFonts w:hint="eastAsia" w:ascii="Times New Roman" w:hAnsi="Times New Roman" w:cs="Times New Roman"/>
                <w:b w:val="0"/>
                <w:bCs w:val="0"/>
                <w:kern w:val="2"/>
                <w:sz w:val="24"/>
                <w:szCs w:val="24"/>
                <w:lang w:eastAsia="zh-CN"/>
              </w:rPr>
            </w:pPr>
            <w:r>
              <w:rPr>
                <w:rFonts w:hint="eastAsia" w:ascii="Times New Roman" w:hAnsi="Times New Roman" w:cs="Times New Roman"/>
                <w:b w:val="0"/>
                <w:bCs w:val="0"/>
                <w:kern w:val="2"/>
                <w:sz w:val="24"/>
                <w:szCs w:val="24"/>
                <w:lang w:eastAsia="zh-CN"/>
              </w:rPr>
              <w:t>1.37 (0.75–2.49)</w:t>
            </w:r>
          </w:p>
        </w:tc>
        <w:tc>
          <w:tcPr>
            <w:tcW w:w="1361" w:type="dxa"/>
            <w:tcBorders>
              <w:top w:val="nil"/>
              <w:left w:val="nil"/>
              <w:bottom w:val="nil"/>
              <w:right w:val="nil"/>
            </w:tcBorders>
          </w:tcPr>
          <w:p w14:paraId="7D36B94B">
            <w:pPr>
              <w:widowControl w:val="0"/>
              <w:spacing w:after="0" w:line="240" w:lineRule="auto"/>
              <w:jc w:val="center"/>
              <w:rPr>
                <w:rFonts w:hint="eastAsia" w:ascii="Times New Roman" w:hAnsi="Times New Roman" w:cs="Times New Roman"/>
                <w:b w:val="0"/>
                <w:bCs w:val="0"/>
                <w:kern w:val="2"/>
                <w:sz w:val="24"/>
                <w:szCs w:val="24"/>
                <w:lang w:eastAsia="zh-CN"/>
              </w:rPr>
            </w:pPr>
            <w:r>
              <w:rPr>
                <w:rFonts w:hint="eastAsia" w:ascii="Times New Roman" w:hAnsi="Times New Roman" w:cs="Times New Roman"/>
                <w:b w:val="0"/>
                <w:bCs w:val="0"/>
                <w:kern w:val="2"/>
                <w:sz w:val="24"/>
                <w:szCs w:val="24"/>
                <w:lang w:eastAsia="zh-CN"/>
              </w:rPr>
              <w:t>0.30</w:t>
            </w:r>
          </w:p>
        </w:tc>
      </w:tr>
      <w:tr w14:paraId="338C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1" w:type="dxa"/>
            <w:tcBorders>
              <w:top w:val="nil"/>
              <w:left w:val="nil"/>
              <w:bottom w:val="nil"/>
              <w:right w:val="nil"/>
            </w:tcBorders>
          </w:tcPr>
          <w:p w14:paraId="2A918993">
            <w:pPr>
              <w:widowControl w:val="0"/>
              <w:spacing w:after="0" w:line="240" w:lineRule="auto"/>
              <w:jc w:val="left"/>
              <w:rPr>
                <w:rFonts w:hint="eastAsia" w:ascii="Times New Roman" w:hAnsi="Times New Roman" w:cs="Times New Roman"/>
                <w:b/>
                <w:bCs/>
                <w:kern w:val="2"/>
                <w:sz w:val="24"/>
                <w:szCs w:val="24"/>
                <w:lang w:eastAsia="zh-CN"/>
              </w:rPr>
            </w:pPr>
            <w:r>
              <w:rPr>
                <w:rFonts w:hint="eastAsia" w:ascii="Times New Roman" w:hAnsi="Times New Roman" w:cs="Times New Roman"/>
                <w:b/>
                <w:bCs/>
                <w:kern w:val="2"/>
                <w:sz w:val="24"/>
                <w:szCs w:val="24"/>
                <w:lang w:eastAsia="zh-CN"/>
              </w:rPr>
              <w:t>Q3</w:t>
            </w:r>
          </w:p>
        </w:tc>
        <w:tc>
          <w:tcPr>
            <w:tcW w:w="2551" w:type="dxa"/>
            <w:tcBorders>
              <w:top w:val="nil"/>
              <w:left w:val="nil"/>
              <w:bottom w:val="nil"/>
              <w:right w:val="nil"/>
            </w:tcBorders>
          </w:tcPr>
          <w:p w14:paraId="4275C8DA">
            <w:pPr>
              <w:widowControl w:val="0"/>
              <w:spacing w:after="0" w:line="240" w:lineRule="auto"/>
              <w:jc w:val="center"/>
              <w:rPr>
                <w:rFonts w:hint="eastAsia" w:ascii="Times New Roman" w:hAnsi="Times New Roman" w:cs="Times New Roman"/>
                <w:b w:val="0"/>
                <w:bCs w:val="0"/>
                <w:kern w:val="2"/>
                <w:sz w:val="24"/>
                <w:szCs w:val="24"/>
                <w:lang w:eastAsia="zh-CN"/>
              </w:rPr>
            </w:pPr>
            <w:r>
              <w:rPr>
                <w:rFonts w:hint="eastAsia" w:ascii="Times New Roman" w:hAnsi="Times New Roman" w:cs="Times New Roman"/>
                <w:b w:val="0"/>
                <w:bCs w:val="0"/>
                <w:kern w:val="2"/>
                <w:sz w:val="24"/>
                <w:szCs w:val="24"/>
                <w:lang w:eastAsia="zh-CN"/>
              </w:rPr>
              <w:t>1.</w:t>
            </w:r>
            <w:r>
              <w:rPr>
                <w:rFonts w:hint="eastAsia" w:ascii="Times New Roman" w:hAnsi="Times New Roman" w:cs="Times New Roman"/>
                <w:b w:val="0"/>
                <w:bCs w:val="0"/>
                <w:kern w:val="2"/>
                <w:sz w:val="24"/>
                <w:szCs w:val="24"/>
                <w:lang w:val="en-US" w:eastAsia="zh-CN"/>
              </w:rPr>
              <w:t>66</w:t>
            </w:r>
            <w:r>
              <w:rPr>
                <w:rFonts w:hint="eastAsia" w:ascii="Times New Roman" w:hAnsi="Times New Roman" w:cs="Times New Roman"/>
                <w:b w:val="0"/>
                <w:bCs w:val="0"/>
                <w:kern w:val="2"/>
                <w:sz w:val="24"/>
                <w:szCs w:val="24"/>
                <w:lang w:eastAsia="zh-CN"/>
              </w:rPr>
              <w:t xml:space="preserve"> (1.</w:t>
            </w:r>
            <w:r>
              <w:rPr>
                <w:rFonts w:hint="eastAsia" w:ascii="Times New Roman" w:hAnsi="Times New Roman" w:cs="Times New Roman"/>
                <w:b w:val="0"/>
                <w:bCs w:val="0"/>
                <w:kern w:val="2"/>
                <w:sz w:val="24"/>
                <w:szCs w:val="24"/>
                <w:lang w:val="en-US" w:eastAsia="zh-CN"/>
              </w:rPr>
              <w:t>23</w:t>
            </w:r>
            <w:r>
              <w:rPr>
                <w:rFonts w:hint="eastAsia" w:ascii="Times New Roman" w:hAnsi="Times New Roman" w:cs="Times New Roman"/>
                <w:b w:val="0"/>
                <w:bCs w:val="0"/>
                <w:kern w:val="2"/>
                <w:sz w:val="24"/>
                <w:szCs w:val="24"/>
                <w:lang w:eastAsia="zh-CN"/>
              </w:rPr>
              <w:t>–2.</w:t>
            </w:r>
            <w:r>
              <w:rPr>
                <w:rFonts w:hint="eastAsia" w:ascii="Times New Roman" w:hAnsi="Times New Roman" w:cs="Times New Roman"/>
                <w:b w:val="0"/>
                <w:bCs w:val="0"/>
                <w:kern w:val="2"/>
                <w:sz w:val="24"/>
                <w:szCs w:val="24"/>
                <w:lang w:val="en-US" w:eastAsia="zh-CN"/>
              </w:rPr>
              <w:t>23</w:t>
            </w:r>
            <w:r>
              <w:rPr>
                <w:rFonts w:hint="eastAsia" w:ascii="Times New Roman" w:hAnsi="Times New Roman" w:cs="Times New Roman"/>
                <w:b w:val="0"/>
                <w:bCs w:val="0"/>
                <w:kern w:val="2"/>
                <w:sz w:val="24"/>
                <w:szCs w:val="24"/>
                <w:lang w:eastAsia="zh-CN"/>
              </w:rPr>
              <w:t>)</w:t>
            </w:r>
          </w:p>
        </w:tc>
        <w:tc>
          <w:tcPr>
            <w:tcW w:w="1361" w:type="dxa"/>
            <w:tcBorders>
              <w:top w:val="nil"/>
              <w:left w:val="nil"/>
              <w:bottom w:val="nil"/>
              <w:right w:val="nil"/>
            </w:tcBorders>
          </w:tcPr>
          <w:p w14:paraId="220B28D6">
            <w:pPr>
              <w:widowControl w:val="0"/>
              <w:spacing w:after="0" w:line="240" w:lineRule="auto"/>
              <w:jc w:val="center"/>
              <w:rPr>
                <w:rFonts w:hint="eastAsia" w:ascii="Times New Roman" w:hAnsi="Times New Roman" w:cs="Times New Roman"/>
                <w:b w:val="0"/>
                <w:bCs w:val="0"/>
                <w:kern w:val="2"/>
                <w:sz w:val="24"/>
                <w:szCs w:val="24"/>
                <w:lang w:val="en-US" w:eastAsia="zh-CN"/>
              </w:rPr>
            </w:pPr>
            <w:r>
              <w:rPr>
                <w:rFonts w:hint="eastAsia" w:ascii="Times New Roman" w:hAnsi="Times New Roman" w:cs="Times New Roman"/>
                <w:b w:val="0"/>
                <w:bCs w:val="0"/>
                <w:kern w:val="2"/>
                <w:sz w:val="24"/>
                <w:szCs w:val="24"/>
                <w:lang w:eastAsia="zh-CN"/>
              </w:rPr>
              <w:t>0.00</w:t>
            </w:r>
            <w:r>
              <w:rPr>
                <w:rFonts w:hint="eastAsia" w:ascii="Times New Roman" w:hAnsi="Times New Roman" w:cs="Times New Roman"/>
                <w:b w:val="0"/>
                <w:bCs w:val="0"/>
                <w:kern w:val="2"/>
                <w:sz w:val="24"/>
                <w:szCs w:val="24"/>
                <w:lang w:val="en-US" w:eastAsia="zh-CN"/>
              </w:rPr>
              <w:t>1</w:t>
            </w:r>
          </w:p>
        </w:tc>
        <w:tc>
          <w:tcPr>
            <w:tcW w:w="2551" w:type="dxa"/>
            <w:tcBorders>
              <w:top w:val="nil"/>
              <w:left w:val="nil"/>
              <w:bottom w:val="nil"/>
              <w:right w:val="nil"/>
            </w:tcBorders>
          </w:tcPr>
          <w:p w14:paraId="3A58DDD6">
            <w:pPr>
              <w:widowControl w:val="0"/>
              <w:spacing w:after="0" w:line="240" w:lineRule="auto"/>
              <w:jc w:val="center"/>
              <w:rPr>
                <w:rFonts w:hint="eastAsia" w:ascii="Times New Roman" w:hAnsi="Times New Roman" w:cs="Times New Roman"/>
                <w:b w:val="0"/>
                <w:bCs w:val="0"/>
                <w:kern w:val="2"/>
                <w:sz w:val="24"/>
                <w:szCs w:val="24"/>
                <w:lang w:eastAsia="zh-CN"/>
              </w:rPr>
            </w:pPr>
            <w:r>
              <w:rPr>
                <w:rFonts w:hint="eastAsia" w:ascii="Times New Roman" w:hAnsi="Times New Roman" w:cs="Times New Roman"/>
                <w:b w:val="0"/>
                <w:bCs w:val="0"/>
                <w:kern w:val="2"/>
                <w:sz w:val="24"/>
                <w:szCs w:val="24"/>
                <w:lang w:eastAsia="zh-CN"/>
              </w:rPr>
              <w:t>1.58 (0.84–2.96)</w:t>
            </w:r>
          </w:p>
        </w:tc>
        <w:tc>
          <w:tcPr>
            <w:tcW w:w="1361" w:type="dxa"/>
            <w:tcBorders>
              <w:top w:val="nil"/>
              <w:left w:val="nil"/>
              <w:bottom w:val="nil"/>
              <w:right w:val="nil"/>
            </w:tcBorders>
          </w:tcPr>
          <w:p w14:paraId="3718FDB5">
            <w:pPr>
              <w:widowControl w:val="0"/>
              <w:spacing w:after="0" w:line="240" w:lineRule="auto"/>
              <w:jc w:val="center"/>
              <w:rPr>
                <w:rFonts w:hint="eastAsia" w:ascii="Times New Roman" w:hAnsi="Times New Roman" w:cs="Times New Roman"/>
                <w:b w:val="0"/>
                <w:bCs w:val="0"/>
                <w:kern w:val="2"/>
                <w:sz w:val="24"/>
                <w:szCs w:val="24"/>
                <w:lang w:eastAsia="zh-CN"/>
              </w:rPr>
            </w:pPr>
            <w:r>
              <w:rPr>
                <w:rFonts w:hint="eastAsia" w:ascii="Times New Roman" w:hAnsi="Times New Roman" w:cs="Times New Roman"/>
                <w:b w:val="0"/>
                <w:bCs w:val="0"/>
                <w:kern w:val="2"/>
                <w:sz w:val="24"/>
                <w:szCs w:val="24"/>
                <w:lang w:eastAsia="zh-CN"/>
              </w:rPr>
              <w:t>0.16</w:t>
            </w:r>
          </w:p>
        </w:tc>
      </w:tr>
      <w:tr w14:paraId="327E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1" w:type="dxa"/>
            <w:tcBorders>
              <w:top w:val="nil"/>
              <w:left w:val="nil"/>
              <w:bottom w:val="single" w:color="auto" w:sz="4" w:space="0"/>
              <w:right w:val="nil"/>
            </w:tcBorders>
          </w:tcPr>
          <w:p w14:paraId="5FD10B54">
            <w:pPr>
              <w:widowControl w:val="0"/>
              <w:spacing w:after="0" w:line="240" w:lineRule="auto"/>
              <w:jc w:val="left"/>
              <w:rPr>
                <w:rFonts w:hint="eastAsia" w:ascii="Times New Roman" w:hAnsi="Times New Roman" w:cs="Times New Roman"/>
                <w:b/>
                <w:bCs/>
                <w:kern w:val="2"/>
                <w:sz w:val="24"/>
                <w:szCs w:val="24"/>
                <w:lang w:eastAsia="zh-CN"/>
              </w:rPr>
            </w:pPr>
            <w:r>
              <w:rPr>
                <w:rFonts w:hint="eastAsia" w:ascii="Times New Roman" w:hAnsi="Times New Roman" w:cs="Times New Roman"/>
                <w:b/>
                <w:bCs/>
                <w:kern w:val="2"/>
                <w:sz w:val="24"/>
                <w:szCs w:val="24"/>
                <w:lang w:eastAsia="zh-CN"/>
              </w:rPr>
              <w:t>Q4</w:t>
            </w:r>
          </w:p>
        </w:tc>
        <w:tc>
          <w:tcPr>
            <w:tcW w:w="2551" w:type="dxa"/>
            <w:tcBorders>
              <w:top w:val="nil"/>
              <w:left w:val="nil"/>
              <w:bottom w:val="single" w:color="auto" w:sz="4" w:space="0"/>
              <w:right w:val="nil"/>
            </w:tcBorders>
          </w:tcPr>
          <w:p w14:paraId="728A1DCD">
            <w:pPr>
              <w:widowControl w:val="0"/>
              <w:spacing w:after="0" w:line="240" w:lineRule="auto"/>
              <w:jc w:val="center"/>
              <w:rPr>
                <w:rFonts w:hint="eastAsia" w:ascii="Times New Roman" w:hAnsi="Times New Roman" w:cs="Times New Roman"/>
                <w:b w:val="0"/>
                <w:bCs w:val="0"/>
                <w:kern w:val="2"/>
                <w:sz w:val="24"/>
                <w:szCs w:val="24"/>
                <w:lang w:eastAsia="zh-CN"/>
              </w:rPr>
            </w:pPr>
            <w:r>
              <w:rPr>
                <w:rFonts w:hint="eastAsia" w:ascii="Times New Roman" w:hAnsi="Times New Roman" w:cs="Times New Roman"/>
                <w:b w:val="0"/>
                <w:bCs w:val="0"/>
                <w:kern w:val="2"/>
                <w:sz w:val="24"/>
                <w:szCs w:val="24"/>
                <w:lang w:eastAsia="zh-CN"/>
              </w:rPr>
              <w:t>1.8</w:t>
            </w:r>
            <w:r>
              <w:rPr>
                <w:rFonts w:hint="eastAsia" w:ascii="Times New Roman" w:hAnsi="Times New Roman" w:cs="Times New Roman"/>
                <w:b w:val="0"/>
                <w:bCs w:val="0"/>
                <w:kern w:val="2"/>
                <w:sz w:val="24"/>
                <w:szCs w:val="24"/>
                <w:lang w:val="en-US" w:eastAsia="zh-CN"/>
              </w:rPr>
              <w:t>3</w:t>
            </w:r>
            <w:r>
              <w:rPr>
                <w:rFonts w:hint="eastAsia" w:ascii="Times New Roman" w:hAnsi="Times New Roman" w:cs="Times New Roman"/>
                <w:b w:val="0"/>
                <w:bCs w:val="0"/>
                <w:kern w:val="2"/>
                <w:sz w:val="24"/>
                <w:szCs w:val="24"/>
                <w:lang w:eastAsia="zh-CN"/>
              </w:rPr>
              <w:t xml:space="preserve"> (1.3</w:t>
            </w:r>
            <w:r>
              <w:rPr>
                <w:rFonts w:hint="eastAsia" w:ascii="Times New Roman" w:hAnsi="Times New Roman" w:cs="Times New Roman"/>
                <w:b w:val="0"/>
                <w:bCs w:val="0"/>
                <w:kern w:val="2"/>
                <w:sz w:val="24"/>
                <w:szCs w:val="24"/>
                <w:lang w:val="en-US" w:eastAsia="zh-CN"/>
              </w:rPr>
              <w:t>6</w:t>
            </w:r>
            <w:r>
              <w:rPr>
                <w:rFonts w:hint="eastAsia" w:ascii="Times New Roman" w:hAnsi="Times New Roman" w:cs="Times New Roman"/>
                <w:b w:val="0"/>
                <w:bCs w:val="0"/>
                <w:kern w:val="2"/>
                <w:sz w:val="24"/>
                <w:szCs w:val="24"/>
                <w:lang w:eastAsia="zh-CN"/>
              </w:rPr>
              <w:t>–2.</w:t>
            </w:r>
            <w:r>
              <w:rPr>
                <w:rFonts w:hint="eastAsia" w:ascii="Times New Roman" w:hAnsi="Times New Roman" w:cs="Times New Roman"/>
                <w:b w:val="0"/>
                <w:bCs w:val="0"/>
                <w:kern w:val="2"/>
                <w:sz w:val="24"/>
                <w:szCs w:val="24"/>
                <w:lang w:val="en-US" w:eastAsia="zh-CN"/>
              </w:rPr>
              <w:t>48</w:t>
            </w:r>
            <w:r>
              <w:rPr>
                <w:rFonts w:hint="eastAsia" w:ascii="Times New Roman" w:hAnsi="Times New Roman" w:cs="Times New Roman"/>
                <w:b w:val="0"/>
                <w:bCs w:val="0"/>
                <w:kern w:val="2"/>
                <w:sz w:val="24"/>
                <w:szCs w:val="24"/>
                <w:lang w:eastAsia="zh-CN"/>
              </w:rPr>
              <w:t>)</w:t>
            </w:r>
          </w:p>
        </w:tc>
        <w:tc>
          <w:tcPr>
            <w:tcW w:w="1361" w:type="dxa"/>
            <w:tcBorders>
              <w:top w:val="nil"/>
              <w:left w:val="nil"/>
              <w:bottom w:val="single" w:color="auto" w:sz="4" w:space="0"/>
              <w:right w:val="nil"/>
            </w:tcBorders>
          </w:tcPr>
          <w:p w14:paraId="79312C05">
            <w:pPr>
              <w:widowControl w:val="0"/>
              <w:spacing w:after="0" w:line="240" w:lineRule="auto"/>
              <w:jc w:val="center"/>
              <w:rPr>
                <w:rFonts w:hint="eastAsia" w:ascii="Times New Roman" w:hAnsi="Times New Roman" w:cs="Times New Roman"/>
                <w:b w:val="0"/>
                <w:bCs w:val="0"/>
                <w:kern w:val="2"/>
                <w:sz w:val="24"/>
                <w:szCs w:val="24"/>
                <w:lang w:eastAsia="zh-CN"/>
              </w:rPr>
            </w:pPr>
            <w:r>
              <w:rPr>
                <w:rFonts w:hint="eastAsia" w:ascii="Times New Roman" w:hAnsi="Times New Roman" w:cs="Times New Roman"/>
                <w:b w:val="0"/>
                <w:bCs w:val="0"/>
                <w:kern w:val="2"/>
                <w:sz w:val="24"/>
                <w:szCs w:val="24"/>
                <w:lang w:eastAsia="zh-CN"/>
              </w:rPr>
              <w:t>&lt;0.001</w:t>
            </w:r>
          </w:p>
        </w:tc>
        <w:tc>
          <w:tcPr>
            <w:tcW w:w="2551" w:type="dxa"/>
            <w:tcBorders>
              <w:top w:val="nil"/>
              <w:left w:val="nil"/>
              <w:bottom w:val="single" w:color="auto" w:sz="4" w:space="0"/>
              <w:right w:val="nil"/>
            </w:tcBorders>
          </w:tcPr>
          <w:p w14:paraId="03DD5060">
            <w:pPr>
              <w:widowControl w:val="0"/>
              <w:spacing w:after="0" w:line="240" w:lineRule="auto"/>
              <w:jc w:val="center"/>
              <w:rPr>
                <w:rFonts w:hint="eastAsia" w:ascii="Times New Roman" w:hAnsi="Times New Roman" w:cs="Times New Roman"/>
                <w:b w:val="0"/>
                <w:bCs w:val="0"/>
                <w:kern w:val="2"/>
                <w:sz w:val="24"/>
                <w:szCs w:val="24"/>
                <w:lang w:eastAsia="zh-CN"/>
              </w:rPr>
            </w:pPr>
            <w:r>
              <w:rPr>
                <w:rFonts w:hint="eastAsia" w:ascii="Times New Roman" w:hAnsi="Times New Roman" w:cs="Times New Roman"/>
                <w:b w:val="0"/>
                <w:bCs w:val="0"/>
                <w:kern w:val="2"/>
                <w:sz w:val="24"/>
                <w:szCs w:val="24"/>
                <w:lang w:eastAsia="zh-CN"/>
              </w:rPr>
              <w:t>1.70 (0.76–3.80)</w:t>
            </w:r>
          </w:p>
        </w:tc>
        <w:tc>
          <w:tcPr>
            <w:tcW w:w="1361" w:type="dxa"/>
            <w:tcBorders>
              <w:top w:val="nil"/>
              <w:left w:val="nil"/>
              <w:bottom w:val="single" w:color="auto" w:sz="4" w:space="0"/>
              <w:right w:val="nil"/>
            </w:tcBorders>
          </w:tcPr>
          <w:p w14:paraId="53EE45A7">
            <w:pPr>
              <w:widowControl w:val="0"/>
              <w:spacing w:after="0" w:line="240" w:lineRule="auto"/>
              <w:jc w:val="center"/>
              <w:rPr>
                <w:rFonts w:hint="eastAsia" w:ascii="Times New Roman" w:hAnsi="Times New Roman" w:cs="Times New Roman"/>
                <w:b w:val="0"/>
                <w:bCs w:val="0"/>
                <w:kern w:val="2"/>
                <w:sz w:val="24"/>
                <w:szCs w:val="24"/>
                <w:lang w:eastAsia="zh-CN"/>
              </w:rPr>
            </w:pPr>
            <w:r>
              <w:rPr>
                <w:rFonts w:hint="eastAsia" w:ascii="Times New Roman" w:hAnsi="Times New Roman" w:cs="Times New Roman"/>
                <w:b w:val="0"/>
                <w:bCs w:val="0"/>
                <w:kern w:val="2"/>
                <w:sz w:val="24"/>
                <w:szCs w:val="24"/>
                <w:lang w:eastAsia="zh-CN"/>
              </w:rPr>
              <w:t>0.20</w:t>
            </w:r>
          </w:p>
        </w:tc>
      </w:tr>
    </w:tbl>
    <w:p w14:paraId="23CEC031">
      <w:pPr>
        <w:spacing w:line="480" w:lineRule="auto"/>
        <w:rPr>
          <w:rFonts w:hint="eastAsia" w:ascii="Times New Roman" w:hAnsi="Times New Roman" w:cs="Times New Roman"/>
          <w:sz w:val="24"/>
        </w:rPr>
      </w:pPr>
      <w:r>
        <w:rPr>
          <w:rFonts w:hint="eastAsia" w:ascii="Times New Roman" w:hAnsi="Times New Roman" w:cs="Times New Roman"/>
          <w:sz w:val="24"/>
        </w:rPr>
        <w:t>METS-VF, metabolic score for visceral fat; HR, hazard ratio; CI, confidence interval.</w:t>
      </w:r>
    </w:p>
    <w:p w14:paraId="4F13AA8A">
      <w:pPr>
        <w:jc w:val="left"/>
      </w:pPr>
    </w:p>
    <w:p w14:paraId="7860979F">
      <w:pPr>
        <w:jc w:val="left"/>
      </w:pPr>
    </w:p>
    <w:p w14:paraId="0B479AB8">
      <w:pPr>
        <w:jc w:val="left"/>
      </w:pPr>
    </w:p>
    <w:p w14:paraId="5817EEF4">
      <w:pPr>
        <w:jc w:val="left"/>
      </w:pPr>
    </w:p>
    <w:p w14:paraId="1952DDC5">
      <w:pPr>
        <w:jc w:val="left"/>
      </w:pPr>
    </w:p>
    <w:p w14:paraId="6CB57F0D">
      <w:pPr>
        <w:jc w:val="left"/>
      </w:pPr>
    </w:p>
    <w:p w14:paraId="154F1558">
      <w:pPr>
        <w:jc w:val="left"/>
      </w:pPr>
    </w:p>
    <w:p w14:paraId="6492A656">
      <w:pPr>
        <w:jc w:val="left"/>
      </w:pPr>
    </w:p>
    <w:p w14:paraId="69E2267E">
      <w:pPr>
        <w:jc w:val="left"/>
      </w:pPr>
    </w:p>
    <w:p w14:paraId="3DD42315">
      <w:pPr>
        <w:jc w:val="left"/>
      </w:pPr>
    </w:p>
    <w:p w14:paraId="0B1814B2">
      <w:pPr>
        <w:rPr>
          <w:sz w:val="24"/>
        </w:rPr>
      </w:pPr>
      <w:r>
        <w:rPr>
          <w:sz w:val="24"/>
        </w:rPr>
        <w:drawing>
          <wp:inline distT="0" distB="0" distL="114300" distR="114300">
            <wp:extent cx="5139690" cy="4283075"/>
            <wp:effectExtent l="0" t="0" r="3810" b="9525"/>
            <wp:docPr id="9" name="图片 9" descr="stroke_incidence_METS-VF-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troke_incidence_METS-VF-sex"/>
                    <pic:cNvPicPr>
                      <a:picLocks noChangeAspect="1"/>
                    </pic:cNvPicPr>
                  </pic:nvPicPr>
                  <pic:blipFill>
                    <a:blip r:embed="rId6"/>
                    <a:stretch>
                      <a:fillRect/>
                    </a:stretch>
                  </pic:blipFill>
                  <pic:spPr>
                    <a:xfrm>
                      <a:off x="0" y="0"/>
                      <a:ext cx="5139690" cy="4283075"/>
                    </a:xfrm>
                    <a:prstGeom prst="rect">
                      <a:avLst/>
                    </a:prstGeom>
                  </pic:spPr>
                </pic:pic>
              </a:graphicData>
            </a:graphic>
          </wp:inline>
        </w:drawing>
      </w:r>
    </w:p>
    <w:p w14:paraId="35DEA2B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cs="Times New Roman"/>
          <w:sz w:val="24"/>
        </w:rPr>
      </w:pPr>
      <w:r>
        <w:rPr>
          <w:rFonts w:hint="eastAsia"/>
          <w:b/>
          <w:bCs/>
        </w:rPr>
        <w:t>Supplementary</w:t>
      </w:r>
      <w:r>
        <w:rPr>
          <w:rFonts w:hint="eastAsia" w:eastAsia="宋体"/>
          <w:b/>
          <w:bCs/>
          <w:lang w:val="en-US" w:eastAsia="zh-CN"/>
        </w:rPr>
        <w:t xml:space="preserve"> </w:t>
      </w:r>
      <w:r>
        <w:rPr>
          <w:rFonts w:hint="eastAsia" w:ascii="Times New Roman" w:hAnsi="Times New Roman" w:cs="Times New Roman"/>
          <w:b/>
          <w:bCs/>
          <w:sz w:val="24"/>
        </w:rPr>
        <w:t>Figure.</w:t>
      </w:r>
      <w:r>
        <w:rPr>
          <w:rFonts w:hint="eastAsia" w:ascii="Times New Roman" w:hAnsi="Times New Roman" w:cs="Times New Roman"/>
          <w:b/>
          <w:bCs/>
          <w:sz w:val="24"/>
          <w:lang w:val="en-US" w:eastAsia="zh-CN"/>
        </w:rPr>
        <w:t xml:space="preserve"> S1</w:t>
      </w:r>
      <w:r>
        <w:rPr>
          <w:rFonts w:hint="eastAsia" w:ascii="Times New Roman" w:hAnsi="Times New Roman" w:cs="Times New Roman"/>
          <w:b/>
          <w:bCs/>
          <w:sz w:val="24"/>
        </w:rPr>
        <w:t xml:space="preserve"> </w:t>
      </w:r>
      <w:r>
        <w:rPr>
          <w:rFonts w:hint="eastAsia" w:ascii="Times New Roman" w:hAnsi="Times New Roman" w:cs="Times New Roman"/>
          <w:sz w:val="24"/>
        </w:rPr>
        <w:t xml:space="preserve">Age- and sex-specific incidence rates of stroke.Bar chart </w:t>
      </w:r>
      <w:bookmarkStart w:id="0" w:name="_GoBack"/>
      <w:bookmarkEnd w:id="0"/>
      <w:r>
        <w:rPr>
          <w:rFonts w:hint="eastAsia" w:ascii="Times New Roman" w:hAnsi="Times New Roman" w:cs="Times New Roman"/>
          <w:sz w:val="24"/>
        </w:rPr>
        <w:t>illustrating the incidence rates of stroke (%) across five age groups, stratified by sex. The incidence of stroke generally increased with age in both men and women, peaking in the 70–79 age group. In each age group, male participants exhibited a higher stroke</w:t>
      </w:r>
      <w:r>
        <w:rPr>
          <w:rFonts w:hint="eastAsia" w:ascii="Times New Roman" w:hAnsi="Times New Roman" w:eastAsia="宋体" w:cs="Times New Roman"/>
          <w:sz w:val="24"/>
          <w:lang w:val="en-US" w:eastAsia="zh-CN"/>
        </w:rPr>
        <w:t xml:space="preserve"> </w:t>
      </w:r>
      <w:r>
        <w:rPr>
          <w:rFonts w:hint="eastAsia" w:ascii="Times New Roman" w:hAnsi="Times New Roman" w:cs="Times New Roman"/>
          <w:sz w:val="24"/>
        </w:rPr>
        <w:t>incidence compared to females, with the overall population trends represented in purple.</w:t>
      </w:r>
    </w:p>
    <w:p w14:paraId="669709AF">
      <w:pPr>
        <w:jc w:val="left"/>
      </w:pP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2E6749E"/>
    <w:rsid w:val="195A42A1"/>
    <w:rsid w:val="52715B3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141</Words>
  <Characters>798</Characters>
  <Lines>0</Lines>
  <Paragraphs>0</Paragraphs>
  <TotalTime>2</TotalTime>
  <ScaleCrop>false</ScaleCrop>
  <LinksUpToDate>false</LinksUpToDate>
  <CharactersWithSpaces>912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陈梓biu</cp:lastModifiedBy>
  <dcterms:modified xsi:type="dcterms:W3CDTF">2026-07-14T15:17:32Z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eyJoZGlkIjoiZDQ3YTRmMGVmMGI5NDQxNjliNzQ2NDQxMmJhYjJjM2EiLCJ1c2VySWQiOiI2NzQyNTQ5MDgifQ==</vt:lpwstr>
  </property>
  <property fmtid="{D5CDD505-2E9C-101B-9397-08002B2CF9AE}" pid="3" name="KSOProductBuildVer">
    <vt:lpwstr>2052-12.1.0.26895</vt:lpwstr>
  </property>
  <property fmtid="{D5CDD505-2E9C-101B-9397-08002B2CF9AE}" pid="4" name="ICV">
    <vt:lpwstr>325F114D8E1A4F978B32C705174C301A_13</vt:lpwstr>
  </property>
</Properties>
</file>