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7E99" w14:textId="77777777" w:rsidR="005E28D8" w:rsidRDefault="005E28D8" w:rsidP="005E28D8">
      <w:pPr>
        <w:jc w:val="both"/>
      </w:pPr>
      <w:r>
        <w:rPr>
          <w:b/>
        </w:rPr>
        <w:t>Supplementary information</w:t>
      </w:r>
    </w:p>
    <w:p w14:paraId="4EB27D50" w14:textId="77777777" w:rsidR="005E28D8" w:rsidRDefault="005E28D8" w:rsidP="005E28D8">
      <w:pPr>
        <w:jc w:val="both"/>
      </w:pPr>
      <w:r>
        <w:rPr>
          <w:b/>
        </w:rPr>
        <w:t xml:space="preserve">Additional file 1 (.docx): </w:t>
      </w:r>
      <w:r>
        <w:t>TIDieR intervention description for the internet-enabled physician-nurse collaborative pathway.</w:t>
      </w:r>
    </w:p>
    <w:p w14:paraId="307E35B6" w14:textId="77777777" w:rsidR="005E28D8" w:rsidRDefault="005E28D8" w:rsidP="005E28D8">
      <w:pPr>
        <w:jc w:val="both"/>
      </w:pPr>
      <w:r>
        <w:rPr>
          <w:b/>
        </w:rPr>
        <w:t xml:space="preserve">Additional file 2 (.docx): </w:t>
      </w:r>
      <w:r>
        <w:t>Completed TREND reporting checklist.</w:t>
      </w:r>
    </w:p>
    <w:p w14:paraId="21BB8A7D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D8"/>
    <w:rsid w:val="00195413"/>
    <w:rsid w:val="003A03A7"/>
    <w:rsid w:val="003D0186"/>
    <w:rsid w:val="005E28D8"/>
    <w:rsid w:val="007278E4"/>
    <w:rsid w:val="00A3738C"/>
    <w:rsid w:val="00B91ABC"/>
    <w:rsid w:val="00BC6C35"/>
    <w:rsid w:val="00C35C0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63EC4"/>
  <w15:chartTrackingRefBased/>
  <w15:docId w15:val="{D6D759EA-102A-4947-990A-3611AF56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8D8"/>
    <w:pPr>
      <w:spacing w:after="0" w:line="480" w:lineRule="auto"/>
    </w:pPr>
    <w:rPr>
      <w:rFonts w:ascii="Times New Roman" w:eastAsia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8D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28D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28D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28D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28D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28D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28D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28D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28D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2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2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2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2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2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2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2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2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2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2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2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28D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2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28D8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2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28D8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2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2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2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28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Springer Nature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2026-09-02T09:54:00Z</dcterms:created>
  <dcterms:modified xsi:type="dcterms:W3CDTF">2026-09-02T09:54:00Z</dcterms:modified>
</cp:coreProperties>
</file>