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40" w:lineRule="auto"/>
        <w:jc w:val="center"/>
      </w:pPr>
      <w:r>
        <w:rPr>
          <w:rFonts w:ascii="Times New Roman" w:hAnsi="Times New Roman" w:eastAsia="Times New Roman"/>
          <w:b/>
          <w:i w:val="0"/>
          <w:sz w:val="28"/>
        </w:rPr>
        <w:t>Additional file 1</w:t>
      </w:r>
    </w:p>
    <w:p>
      <w:pPr>
        <w:spacing w:before="0" w:after="40" w:line="240" w:lineRule="auto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TIDieR intervention description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4680"/>
        <w:gridCol w:w="4680"/>
      </w:tblGrid>
      <w:tr>
        <w:trPr>
          <w:tblHeader w:val="true"/>
          <w:cantSplit/>
        </w:trPr>
        <w:tc>
          <w:tcPr>
            <w:tcW w:type="dxa" w:w="2381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16"/>
              </w:rPr>
              <w:t>Item</w:t>
            </w:r>
          </w:p>
        </w:tc>
        <w:tc>
          <w:tcPr>
            <w:tcW w:type="dxa" w:w="6803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16"/>
              </w:rPr>
              <w:t>Reported information</w:t>
            </w:r>
          </w:p>
        </w:tc>
      </w:tr>
      <w:tr>
        <w:trPr>
          <w:cantSplit/>
        </w:trPr>
        <w:tc>
          <w:tcPr>
            <w:tcW w:type="dxa" w:w="2381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1. Brief name</w:t>
            </w:r>
          </w:p>
        </w:tc>
        <w:tc>
          <w:tcPr>
            <w:tcW w:type="dxa" w:w="6803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Internet-enabled physician-nurse collaborative pathway for benign breast-mass day surgery.</w:t>
            </w:r>
          </w:p>
        </w:tc>
      </w:tr>
      <w:tr>
        <w:trPr>
          <w:cantSplit/>
        </w:trPr>
        <w:tc>
          <w:tcPr>
            <w:tcW w:type="dxa" w:w="2381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2. Why</w:t>
            </w:r>
          </w:p>
        </w:tc>
        <w:tc>
          <w:tcPr>
            <w:tcW w:type="dxa" w:w="6803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The pathway was designed to reduce fragmented perioperative information, improve knowledge and predictability, clarify physician-nurse responsibilities, and extend wound, pain, symptom, and pathology support beyond rapid discharge.</w:t>
            </w:r>
          </w:p>
        </w:tc>
      </w:tr>
      <w:tr>
        <w:trPr>
          <w:cantSplit/>
        </w:trPr>
        <w:tc>
          <w:tcPr>
            <w:tcW w:type="dxa" w:w="2381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3. Materials</w:t>
            </w:r>
          </w:p>
        </w:tc>
        <w:tc>
          <w:tcPr>
            <w:tcW w:type="dxa" w:w="6803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Hospital internet platform accessed through WeChat; stage-specific text and video education; preoperative reminder checklist; anxiety and health-knowledge questionnaires; wound-care and activity guidance; messaging and wound-photograph functions.</w:t>
            </w:r>
          </w:p>
        </w:tc>
      </w:tr>
      <w:tr>
        <w:trPr>
          <w:cantSplit/>
        </w:trPr>
        <w:tc>
          <w:tcPr>
            <w:tcW w:type="dxa" w:w="2381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4. Procedures</w:t>
            </w:r>
          </w:p>
        </w:tc>
        <w:tc>
          <w:tcPr>
            <w:tcW w:type="dxa" w:w="6803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Platform onboarding; baseline assessment; scheduled preoperative education; nurse confirmation that essential content was viewed; telephone reminder for non-viewers; procedure-day preparation check and reassessment; postoperative pain, wound, and escalation guidance; pathology and dressing reminders; wound-photo and pathology review; nurse and physician feedback.</w:t>
            </w:r>
          </w:p>
        </w:tc>
      </w:tr>
      <w:tr>
        <w:trPr>
          <w:cantSplit/>
        </w:trPr>
        <w:tc>
          <w:tcPr>
            <w:tcW w:type="dxa" w:w="2381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5. Providers</w:t>
            </w:r>
          </w:p>
        </w:tc>
        <w:tc>
          <w:tcPr>
            <w:tcW w:type="dxa" w:w="6803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Five associate chief physicians, one attending physician, two breast specialist nurses at nurse-in-charge level or above, two graduate researchers, and one internet-hospital operator. Physicians handled medical decisions, intraoperative guidance, pathology interpretation, and clinical escalation. Nurses delivered onboarding, education, preparation checks, psychological support, symptom guidance, and follow-up.</w:t>
            </w:r>
          </w:p>
        </w:tc>
      </w:tr>
      <w:tr>
        <w:trPr>
          <w:cantSplit/>
        </w:trPr>
        <w:tc>
          <w:tcPr>
            <w:tcW w:type="dxa" w:w="2381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6. Mode of delivery</w:t>
            </w:r>
          </w:p>
        </w:tc>
        <w:tc>
          <w:tcPr>
            <w:tcW w:type="dxa" w:w="6803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Individual digital delivery through the hospital platform, supplemented by telephone and face-to-face contact. Automated messages were combined with asynchronous patient messaging and professional feedback.</w:t>
            </w:r>
          </w:p>
        </w:tc>
      </w:tr>
      <w:tr>
        <w:trPr>
          <w:cantSplit/>
        </w:trPr>
        <w:tc>
          <w:tcPr>
            <w:tcW w:type="dxa" w:w="2381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7. Location</w:t>
            </w:r>
          </w:p>
        </w:tc>
        <w:tc>
          <w:tcPr>
            <w:tcW w:type="dxa" w:w="6803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A tertiary hospital breast and thyroid surgery department, procedure area, and the patient's home during recovery.</w:t>
            </w:r>
          </w:p>
        </w:tc>
      </w:tr>
      <w:tr>
        <w:trPr>
          <w:cantSplit/>
        </w:trPr>
        <w:tc>
          <w:tcPr>
            <w:tcW w:type="dxa" w:w="2381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8. Schedule and dose</w:t>
            </w:r>
          </w:p>
        </w:tc>
        <w:tc>
          <w:tcPr>
            <w:tcW w:type="dxa" w:w="6803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At booking/approximately 3 days before surgery; 1 day before surgery; procedure day; immediately after surgery; discharge; and postoperative day 7. Patients could review material repeatedly and submit questions during the pathway.</w:t>
            </w:r>
          </w:p>
        </w:tc>
      </w:tr>
      <w:tr>
        <w:trPr>
          <w:cantSplit/>
        </w:trPr>
        <w:tc>
          <w:tcPr>
            <w:tcW w:type="dxa" w:w="2381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9. Tailoring</w:t>
            </w:r>
          </w:p>
        </w:tc>
        <w:tc>
          <w:tcPr>
            <w:tcW w:type="dxa" w:w="6803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Content was matched to procedure type and perioperative stage. Nurses contacted patients who had not viewed essential information and responded to individual questions. Physicians tailored pathology interpretation and recovery advice.</w:t>
            </w:r>
          </w:p>
        </w:tc>
      </w:tr>
      <w:tr>
        <w:trPr>
          <w:cantSplit/>
        </w:trPr>
        <w:tc>
          <w:tcPr>
            <w:tcW w:type="dxa" w:w="2381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10. Modifications</w:t>
            </w:r>
          </w:p>
        </w:tc>
        <w:tc>
          <w:tcPr>
            <w:tcW w:type="dxa" w:w="6803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No formal mid-study modification was documented. The pathway had been refined in a preceding development and Delphi phase.</w:t>
            </w:r>
          </w:p>
        </w:tc>
      </w:tr>
      <w:tr>
        <w:trPr>
          <w:cantSplit/>
        </w:trPr>
        <w:tc>
          <w:tcPr>
            <w:tcW w:type="dxa" w:w="2381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11. Fidelity planned</w:t>
            </w:r>
          </w:p>
        </w:tc>
        <w:tc>
          <w:tcPr>
            <w:tcW w:type="dxa" w:w="6803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Standardized team training; predefined message timing and content; professional role allocation; nurse confirmation of preoperative content access; telephone follow-up for non-viewers.</w:t>
            </w:r>
          </w:p>
        </w:tc>
      </w:tr>
      <w:tr>
        <w:trPr>
          <w:cantSplit/>
        </w:trPr>
        <w:tc>
          <w:tcPr>
            <w:tcW w:type="dxa" w:w="2381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12. Fidelity achieved</w:t>
            </w:r>
          </w:p>
        </w:tc>
        <w:tc>
          <w:tcPr>
            <w:tcW w:type="dxa" w:w="6803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The thesis documented standardized training and nurse confirmation procedures, but did not report quantitative platform-use logs, proportion of messages opened, provider response times, deviations, or staff workload. These should be measured in future implementation studies.</w:t>
            </w:r>
          </w:p>
        </w:tc>
      </w:tr>
    </w:tbl>
    <w:sectPr w:rsidR="00FC693F" w:rsidRPr="0006063C" w:rsidSect="00034616">
      <w:footerReference w:type="default" r:id="rId9"/>
      <w:pgSz w:w="15840" w:h="12240" w:orient="landscape"/>
      <w:pgMar w:top="850" w:right="907" w:bottom="850" w:left="90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80" w:lineRule="auto" w:after="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TIDieR intervention description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