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32645" w14:textId="17D899F5" w:rsidR="00D4520D" w:rsidRPr="00D4520D" w:rsidRDefault="00D4520D" w:rsidP="00D4520D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D4520D">
        <w:rPr>
          <w:rFonts w:asciiTheme="majorBidi" w:hAnsiTheme="majorBidi" w:cstheme="majorBidi"/>
        </w:rPr>
        <w:t>Facile hydrothermal synthesis of Ni–Co–S/MOF</w:t>
      </w:r>
      <w:r w:rsidRPr="00D4520D">
        <w:rPr>
          <w:rFonts w:asciiTheme="majorBidi" w:hAnsiTheme="majorBidi" w:cstheme="majorBidi"/>
        </w:rPr>
        <w:t xml:space="preserve"> </w:t>
      </w:r>
      <w:r w:rsidRPr="00D4520D">
        <w:rPr>
          <w:rFonts w:asciiTheme="majorBidi" w:hAnsiTheme="majorBidi" w:cstheme="majorBidi"/>
        </w:rPr>
        <w:t>@</w:t>
      </w:r>
      <w:r w:rsidRPr="00D4520D">
        <w:rPr>
          <w:rFonts w:asciiTheme="majorBidi" w:hAnsiTheme="majorBidi" w:cstheme="majorBidi"/>
        </w:rPr>
        <w:t xml:space="preserve"> F</w:t>
      </w:r>
      <w:r w:rsidRPr="00D4520D">
        <w:rPr>
          <w:rFonts w:asciiTheme="majorBidi" w:hAnsiTheme="majorBidi" w:cstheme="majorBidi"/>
        </w:rPr>
        <w:t xml:space="preserve">unctionalized MWCNT composite. </w:t>
      </w:r>
    </w:p>
    <w:p w14:paraId="03500AF9" w14:textId="754653EB" w:rsidR="00D4520D" w:rsidRPr="00D4520D" w:rsidRDefault="00D4520D" w:rsidP="00D4520D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D4520D">
        <w:rPr>
          <w:rFonts w:asciiTheme="majorBidi" w:hAnsiTheme="majorBidi" w:cstheme="majorBidi"/>
        </w:rPr>
        <w:t xml:space="preserve">High specific capacitance of 820 </w:t>
      </w:r>
      <w:proofErr w:type="gramStart"/>
      <w:r w:rsidRPr="00D4520D">
        <w:rPr>
          <w:rFonts w:asciiTheme="majorBidi" w:hAnsiTheme="majorBidi" w:cstheme="majorBidi"/>
        </w:rPr>
        <w:t>F</w:t>
      </w:r>
      <w:r>
        <w:rPr>
          <w:rFonts w:asciiTheme="majorBidi" w:hAnsiTheme="majorBidi" w:cstheme="majorBidi"/>
        </w:rPr>
        <w:t>.</w:t>
      </w:r>
      <w:r w:rsidRPr="00D4520D">
        <w:rPr>
          <w:rFonts w:asciiTheme="majorBidi" w:hAnsiTheme="majorBidi" w:cstheme="majorBidi"/>
        </w:rPr>
        <w:t>g</w:t>
      </w:r>
      <w:proofErr w:type="gramEnd"/>
      <w:r w:rsidRPr="00D4520D">
        <w:rPr>
          <w:rFonts w:asciiTheme="majorBidi" w:hAnsiTheme="majorBidi" w:cstheme="majorBidi"/>
          <w:vertAlign w:val="superscript"/>
        </w:rPr>
        <w:t>−1</w:t>
      </w:r>
      <w:r w:rsidRPr="00D4520D">
        <w:rPr>
          <w:rFonts w:asciiTheme="majorBidi" w:hAnsiTheme="majorBidi" w:cstheme="majorBidi"/>
        </w:rPr>
        <w:t xml:space="preserve"> at 0.5 </w:t>
      </w:r>
      <w:proofErr w:type="gramStart"/>
      <w:r w:rsidRPr="00D4520D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>.</w:t>
      </w:r>
      <w:r w:rsidRPr="00D4520D">
        <w:rPr>
          <w:rFonts w:asciiTheme="majorBidi" w:hAnsiTheme="majorBidi" w:cstheme="majorBidi"/>
        </w:rPr>
        <w:t>g</w:t>
      </w:r>
      <w:proofErr w:type="gramEnd"/>
      <w:r w:rsidRPr="00D4520D">
        <w:rPr>
          <w:rFonts w:asciiTheme="majorBidi" w:hAnsiTheme="majorBidi" w:cstheme="majorBidi"/>
          <w:vertAlign w:val="superscript"/>
        </w:rPr>
        <w:t>−1</w:t>
      </w:r>
      <w:r w:rsidRPr="00D4520D">
        <w:rPr>
          <w:rFonts w:asciiTheme="majorBidi" w:hAnsiTheme="majorBidi" w:cstheme="majorBidi"/>
        </w:rPr>
        <w:t xml:space="preserve"> for the hybrid electrode. </w:t>
      </w:r>
    </w:p>
    <w:p w14:paraId="30C1A722" w14:textId="09EC40B4" w:rsidR="00D4520D" w:rsidRPr="00D4520D" w:rsidRDefault="00D4520D" w:rsidP="00D4520D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D4520D">
        <w:rPr>
          <w:rFonts w:asciiTheme="majorBidi" w:hAnsiTheme="majorBidi" w:cstheme="majorBidi"/>
        </w:rPr>
        <w:t xml:space="preserve">Excellent cycling stability with ~93% capacitance retention after 5000 cycles. </w:t>
      </w:r>
    </w:p>
    <w:p w14:paraId="1035916F" w14:textId="0028ADD0" w:rsidR="00D4520D" w:rsidRPr="00D4520D" w:rsidRDefault="00D4520D" w:rsidP="00D4520D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D4520D">
        <w:rPr>
          <w:rFonts w:asciiTheme="majorBidi" w:hAnsiTheme="majorBidi" w:cstheme="majorBidi"/>
        </w:rPr>
        <w:t>Symmetric device delivers 41.4 Wh</w:t>
      </w:r>
      <w:r>
        <w:rPr>
          <w:rFonts w:asciiTheme="majorBidi" w:hAnsiTheme="majorBidi" w:cstheme="majorBidi"/>
        </w:rPr>
        <w:t>.</w:t>
      </w:r>
      <w:r w:rsidRPr="00D4520D">
        <w:rPr>
          <w:rFonts w:asciiTheme="majorBidi" w:hAnsiTheme="majorBidi" w:cstheme="majorBidi"/>
        </w:rPr>
        <w:t>kg</w:t>
      </w:r>
      <w:r w:rsidRPr="00D4520D">
        <w:rPr>
          <w:rFonts w:asciiTheme="majorBidi" w:hAnsiTheme="majorBidi" w:cstheme="majorBidi"/>
          <w:vertAlign w:val="superscript"/>
        </w:rPr>
        <w:t>−1</w:t>
      </w:r>
      <w:r w:rsidRPr="00D4520D">
        <w:rPr>
          <w:rFonts w:asciiTheme="majorBidi" w:hAnsiTheme="majorBidi" w:cstheme="majorBidi"/>
        </w:rPr>
        <w:t xml:space="preserve"> and 720 W</w:t>
      </w:r>
      <w:r>
        <w:rPr>
          <w:rFonts w:asciiTheme="majorBidi" w:hAnsiTheme="majorBidi" w:cstheme="majorBidi"/>
        </w:rPr>
        <w:t>.</w:t>
      </w:r>
      <w:r w:rsidRPr="00D4520D">
        <w:rPr>
          <w:rFonts w:asciiTheme="majorBidi" w:hAnsiTheme="majorBidi" w:cstheme="majorBidi"/>
        </w:rPr>
        <w:t>kg</w:t>
      </w:r>
      <w:r w:rsidRPr="00D4520D">
        <w:rPr>
          <w:rFonts w:asciiTheme="majorBidi" w:hAnsiTheme="majorBidi" w:cstheme="majorBidi"/>
          <w:vertAlign w:val="superscript"/>
        </w:rPr>
        <w:t>−1</w:t>
      </w:r>
      <w:r w:rsidRPr="00D4520D">
        <w:rPr>
          <w:rFonts w:asciiTheme="majorBidi" w:hAnsiTheme="majorBidi" w:cstheme="majorBidi"/>
        </w:rPr>
        <w:t xml:space="preserve"> (2-electrode setup). </w:t>
      </w:r>
    </w:p>
    <w:p w14:paraId="667F3953" w14:textId="5F755904" w:rsidR="002E5811" w:rsidRPr="00D4520D" w:rsidRDefault="00D4520D" w:rsidP="00D4520D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D4520D">
        <w:rPr>
          <w:rFonts w:asciiTheme="majorBidi" w:hAnsiTheme="majorBidi" w:cstheme="majorBidi"/>
        </w:rPr>
        <w:t>Synergistic MOF porosity and CNT network boost ion/electron transport.</w:t>
      </w:r>
    </w:p>
    <w:sectPr w:rsidR="002E5811" w:rsidRPr="00D45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108A4"/>
    <w:multiLevelType w:val="hybridMultilevel"/>
    <w:tmpl w:val="4DB0E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D2069"/>
    <w:multiLevelType w:val="hybridMultilevel"/>
    <w:tmpl w:val="8CD42E92"/>
    <w:lvl w:ilvl="0" w:tplc="45DC786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839673">
    <w:abstractNumId w:val="0"/>
  </w:num>
  <w:num w:numId="2" w16cid:durableId="52043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2F1"/>
    <w:rsid w:val="002E5811"/>
    <w:rsid w:val="003D570A"/>
    <w:rsid w:val="00515CBC"/>
    <w:rsid w:val="00752168"/>
    <w:rsid w:val="007807BA"/>
    <w:rsid w:val="007B3F64"/>
    <w:rsid w:val="00813FC2"/>
    <w:rsid w:val="008822DC"/>
    <w:rsid w:val="00961C9F"/>
    <w:rsid w:val="009966E9"/>
    <w:rsid w:val="00A82430"/>
    <w:rsid w:val="00C622F1"/>
    <w:rsid w:val="00D4520D"/>
    <w:rsid w:val="00FA0A42"/>
    <w:rsid w:val="00FB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8CAE3"/>
  <w15:chartTrackingRefBased/>
  <w15:docId w15:val="{CE6E003F-B266-4C3F-93D5-70CC54E2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2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2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752168"/>
    <w:pPr>
      <w:spacing w:after="200" w:line="240" w:lineRule="auto"/>
    </w:pPr>
    <w:rPr>
      <w:rFonts w:asciiTheme="majorBidi" w:hAnsiTheme="majorBidi"/>
      <w:iCs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622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2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2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2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2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2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2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2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Mehran</dc:creator>
  <cp:keywords/>
  <dc:description/>
  <cp:lastModifiedBy>Mehran</cp:lastModifiedBy>
  <cp:revision>2</cp:revision>
  <dcterms:created xsi:type="dcterms:W3CDTF">2026-06-01T09:06:00Z</dcterms:created>
  <dcterms:modified xsi:type="dcterms:W3CDTF">2026-06-01T09:07:00Z</dcterms:modified>
</cp:coreProperties>
</file>