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08D" w:rsidRDefault="00E5608D" w:rsidP="00E5608D">
      <w:pPr>
        <w:pStyle w:val="Heading1"/>
        <w:spacing w:line="240" w:lineRule="exact"/>
        <w:jc w:val="center"/>
        <w:rPr>
          <w:rFonts w:ascii="Times New Roman" w:hAnsi="Times New Roman"/>
          <w:b/>
          <w:color w:val="auto"/>
          <w:sz w:val="24"/>
          <w:szCs w:val="24"/>
        </w:rPr>
      </w:pPr>
      <w:r>
        <w:rPr>
          <w:rFonts w:ascii="Times New Roman" w:hAnsi="Times New Roman"/>
          <w:b/>
          <w:color w:val="auto"/>
          <w:sz w:val="24"/>
          <w:szCs w:val="24"/>
        </w:rPr>
        <w:t>Supplementary File-3</w:t>
      </w:r>
      <w:r w:rsidRPr="00042F40">
        <w:rPr>
          <w:rFonts w:ascii="Times New Roman" w:hAnsi="Times New Roman"/>
          <w:b/>
          <w:color w:val="auto"/>
          <w:sz w:val="24"/>
          <w:szCs w:val="24"/>
        </w:rPr>
        <w:t xml:space="preserve">: </w:t>
      </w:r>
      <w:r>
        <w:rPr>
          <w:rFonts w:ascii="Times New Roman" w:hAnsi="Times New Roman"/>
          <w:b/>
          <w:color w:val="auto"/>
          <w:sz w:val="24"/>
          <w:szCs w:val="24"/>
        </w:rPr>
        <w:t xml:space="preserve">Study Instrument for the </w:t>
      </w:r>
      <w:r>
        <w:rPr>
          <w:rFonts w:ascii="Times New Roman" w:hAnsi="Times New Roman"/>
          <w:b/>
          <w:color w:val="auto"/>
          <w:sz w:val="24"/>
          <w:szCs w:val="24"/>
        </w:rPr>
        <w:t>Second</w:t>
      </w:r>
      <w:r>
        <w:rPr>
          <w:rFonts w:ascii="Times New Roman" w:hAnsi="Times New Roman"/>
          <w:b/>
          <w:color w:val="auto"/>
          <w:sz w:val="24"/>
          <w:szCs w:val="24"/>
        </w:rPr>
        <w:t xml:space="preserve"> Modified </w:t>
      </w:r>
      <w:r w:rsidRPr="00042F40">
        <w:rPr>
          <w:rFonts w:ascii="Times New Roman" w:hAnsi="Times New Roman"/>
          <w:b/>
          <w:color w:val="auto"/>
          <w:sz w:val="24"/>
          <w:szCs w:val="24"/>
        </w:rPr>
        <w:t>Delphi Round</w:t>
      </w:r>
    </w:p>
    <w:p w:rsidR="00E5608D" w:rsidRPr="00F915F8" w:rsidRDefault="00E5608D" w:rsidP="00E5608D">
      <w:pPr>
        <w:spacing w:before="240" w:line="240" w:lineRule="exact"/>
        <w:jc w:val="center"/>
        <w:rPr>
          <w:rFonts w:ascii="Times New Roman" w:hAnsi="Times New Roman"/>
          <w:b/>
          <w:sz w:val="24"/>
          <w:szCs w:val="24"/>
        </w:rPr>
      </w:pPr>
      <w:r w:rsidRPr="00F915F8">
        <w:rPr>
          <w:rFonts w:ascii="Times New Roman" w:hAnsi="Times New Roman"/>
          <w:b/>
          <w:sz w:val="24"/>
          <w:szCs w:val="24"/>
        </w:rPr>
        <w:t>Development and Validation of a Competency-Based Education Model for Strengthening Undergraduate Training of Human Nutrition and Dietetics in Uganda</w:t>
      </w:r>
    </w:p>
    <w:p w:rsidR="00E5608D" w:rsidRPr="00FB66F7" w:rsidRDefault="00E5608D" w:rsidP="00E5608D">
      <w:pPr>
        <w:shd w:val="clear" w:color="auto" w:fill="FFFFFF"/>
        <w:spacing w:after="0" w:line="240" w:lineRule="exact"/>
        <w:jc w:val="both"/>
        <w:rPr>
          <w:rFonts w:cs="Arial"/>
          <w:color w:val="000000"/>
        </w:rPr>
      </w:pPr>
      <w:r w:rsidRPr="00FB66F7">
        <w:rPr>
          <w:rFonts w:ascii="Times New Roman" w:hAnsi="Times New Roman"/>
          <w:b/>
          <w:bCs/>
          <w:color w:val="000000"/>
          <w:sz w:val="24"/>
          <w:szCs w:val="24"/>
        </w:rPr>
        <w:t xml:space="preserve">Instructions for the </w:t>
      </w:r>
      <w:r>
        <w:rPr>
          <w:rFonts w:ascii="Times New Roman" w:hAnsi="Times New Roman"/>
          <w:b/>
          <w:sz w:val="24"/>
          <w:szCs w:val="24"/>
        </w:rPr>
        <w:t>Second</w:t>
      </w:r>
      <w:r w:rsidRPr="00FB66F7">
        <w:rPr>
          <w:rFonts w:ascii="Times New Roman" w:hAnsi="Times New Roman"/>
          <w:b/>
          <w:bCs/>
          <w:color w:val="000000"/>
          <w:sz w:val="24"/>
          <w:szCs w:val="24"/>
        </w:rPr>
        <w:t xml:space="preserve"> </w:t>
      </w:r>
      <w:r>
        <w:rPr>
          <w:rFonts w:ascii="Times New Roman" w:hAnsi="Times New Roman"/>
          <w:b/>
          <w:bCs/>
          <w:color w:val="000000"/>
          <w:sz w:val="24"/>
          <w:szCs w:val="24"/>
        </w:rPr>
        <w:t xml:space="preserve">Modified </w:t>
      </w:r>
      <w:r w:rsidRPr="00FB66F7">
        <w:rPr>
          <w:rFonts w:ascii="Times New Roman" w:hAnsi="Times New Roman"/>
          <w:b/>
          <w:bCs/>
          <w:color w:val="000000"/>
          <w:sz w:val="24"/>
          <w:szCs w:val="24"/>
        </w:rPr>
        <w:t>Delphi Round of Consultation</w:t>
      </w:r>
    </w:p>
    <w:p w:rsidR="00C67E74" w:rsidRDefault="00C67E74" w:rsidP="00C67E74">
      <w:pPr>
        <w:spacing w:line="240" w:lineRule="auto"/>
        <w:jc w:val="both"/>
        <w:rPr>
          <w:rFonts w:ascii="Times New Roman" w:hAnsi="Times New Roman"/>
          <w:sz w:val="24"/>
          <w:szCs w:val="24"/>
        </w:rPr>
      </w:pPr>
      <w:r>
        <w:rPr>
          <w:rFonts w:ascii="Times New Roman" w:hAnsi="Times New Roman"/>
          <w:sz w:val="24"/>
          <w:szCs w:val="24"/>
        </w:rPr>
        <w:t xml:space="preserve">In this second round of </w:t>
      </w:r>
      <w:r w:rsidR="00E5608D">
        <w:rPr>
          <w:rFonts w:ascii="Times New Roman" w:hAnsi="Times New Roman"/>
          <w:sz w:val="24"/>
          <w:szCs w:val="24"/>
        </w:rPr>
        <w:t xml:space="preserve">modified Delphi </w:t>
      </w:r>
      <w:r>
        <w:rPr>
          <w:rFonts w:ascii="Times New Roman" w:hAnsi="Times New Roman"/>
          <w:sz w:val="24"/>
          <w:szCs w:val="24"/>
        </w:rPr>
        <w:t>consultation</w:t>
      </w:r>
      <w:r w:rsidR="00E5608D">
        <w:rPr>
          <w:rFonts w:ascii="Times New Roman" w:hAnsi="Times New Roman"/>
          <w:sz w:val="24"/>
          <w:szCs w:val="24"/>
        </w:rPr>
        <w:t>s,</w:t>
      </w:r>
      <w:r w:rsidRPr="00D67396">
        <w:rPr>
          <w:rFonts w:ascii="Times New Roman" w:hAnsi="Times New Roman"/>
          <w:sz w:val="24"/>
          <w:szCs w:val="24"/>
        </w:rPr>
        <w:t xml:space="preserve"> </w:t>
      </w:r>
      <w:r>
        <w:rPr>
          <w:rFonts w:ascii="Times New Roman" w:hAnsi="Times New Roman"/>
          <w:sz w:val="24"/>
          <w:szCs w:val="24"/>
        </w:rPr>
        <w:t xml:space="preserve">a summary of the statements for which consensus was not attained in the first </w:t>
      </w:r>
      <w:r w:rsidR="00E5608D">
        <w:rPr>
          <w:rFonts w:ascii="Times New Roman" w:hAnsi="Times New Roman"/>
          <w:sz w:val="24"/>
          <w:szCs w:val="24"/>
        </w:rPr>
        <w:t xml:space="preserve">modified </w:t>
      </w:r>
      <w:r>
        <w:rPr>
          <w:rFonts w:ascii="Times New Roman" w:hAnsi="Times New Roman"/>
          <w:sz w:val="24"/>
          <w:szCs w:val="24"/>
        </w:rPr>
        <w:t>round is provided together with the level of agreement and the comments given for the initial rating</w:t>
      </w:r>
      <w:r w:rsidR="00E5608D">
        <w:rPr>
          <w:rFonts w:ascii="Times New Roman" w:hAnsi="Times New Roman"/>
          <w:sz w:val="24"/>
          <w:szCs w:val="24"/>
        </w:rPr>
        <w:t>s</w:t>
      </w:r>
      <w:r>
        <w:rPr>
          <w:rFonts w:ascii="Times New Roman" w:hAnsi="Times New Roman"/>
          <w:sz w:val="24"/>
          <w:szCs w:val="24"/>
        </w:rPr>
        <w:t xml:space="preserve">. We are inviting you to keenly reflect on the feedback from the first </w:t>
      </w:r>
      <w:r w:rsidR="00E5608D">
        <w:rPr>
          <w:rFonts w:ascii="Times New Roman" w:hAnsi="Times New Roman"/>
          <w:sz w:val="24"/>
          <w:szCs w:val="24"/>
        </w:rPr>
        <w:t xml:space="preserve">modified Delphi </w:t>
      </w:r>
      <w:r>
        <w:rPr>
          <w:rFonts w:ascii="Times New Roman" w:hAnsi="Times New Roman"/>
          <w:sz w:val="24"/>
          <w:szCs w:val="24"/>
        </w:rPr>
        <w:t xml:space="preserve">round for only those statements for which </w:t>
      </w:r>
      <w:r w:rsidR="00E5608D">
        <w:rPr>
          <w:rFonts w:ascii="Times New Roman" w:hAnsi="Times New Roman"/>
          <w:sz w:val="24"/>
          <w:szCs w:val="24"/>
        </w:rPr>
        <w:t xml:space="preserve">the ≥80% participant </w:t>
      </w:r>
      <w:r>
        <w:rPr>
          <w:rFonts w:ascii="Times New Roman" w:hAnsi="Times New Roman"/>
          <w:sz w:val="24"/>
          <w:szCs w:val="24"/>
        </w:rPr>
        <w:t>consensus was not attained</w:t>
      </w:r>
      <w:r>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t>Decide</w:t>
      </w:r>
      <w:r>
        <w:rPr>
          <w:rFonts w:ascii="Times New Roman" w:hAnsi="Times New Roman"/>
          <w:sz w:val="24"/>
          <w:szCs w:val="24"/>
        </w:rPr>
        <w:t xml:space="preserve"> and indicate </w:t>
      </w:r>
      <w:r>
        <w:rPr>
          <w:rFonts w:ascii="Times New Roman" w:hAnsi="Times New Roman"/>
          <w:sz w:val="24"/>
          <w:szCs w:val="24"/>
        </w:rPr>
        <w:t xml:space="preserve">your level of agreement (either disagree or agree) with each of the statement </w:t>
      </w:r>
      <w:r>
        <w:rPr>
          <w:rFonts w:ascii="Times New Roman" w:hAnsi="Times New Roman"/>
          <w:sz w:val="24"/>
          <w:szCs w:val="24"/>
        </w:rPr>
        <w:t>and</w:t>
      </w:r>
      <w:r>
        <w:rPr>
          <w:rFonts w:ascii="Times New Roman" w:hAnsi="Times New Roman"/>
          <w:sz w:val="24"/>
          <w:szCs w:val="24"/>
        </w:rPr>
        <w:t xml:space="preserve"> the level of</w:t>
      </w:r>
      <w:r>
        <w:rPr>
          <w:rFonts w:ascii="Times New Roman" w:hAnsi="Times New Roman"/>
          <w:sz w:val="24"/>
          <w:szCs w:val="24"/>
        </w:rPr>
        <w:t xml:space="preserve"> training for which the given competency should be learned/attained (either undergraduate or masters); and further provide your justification for the choice of response.  </w:t>
      </w:r>
    </w:p>
    <w:p w:rsidR="00C67E74" w:rsidRPr="00054AEE" w:rsidRDefault="00C67E74" w:rsidP="00C67E74">
      <w:pPr>
        <w:spacing w:line="240" w:lineRule="auto"/>
        <w:jc w:val="both"/>
        <w:rPr>
          <w:rFonts w:ascii="Times New Roman" w:hAnsi="Times New Roman"/>
          <w:sz w:val="24"/>
          <w:szCs w:val="24"/>
        </w:rPr>
      </w:pPr>
      <w:r>
        <w:rPr>
          <w:rFonts w:ascii="Times New Roman" w:hAnsi="Times New Roman"/>
          <w:sz w:val="24"/>
          <w:szCs w:val="24"/>
        </w:rPr>
        <w:t>As it was in the first round, you are humbly requested to review and provide your feedback in two weeks (i.e. by 1</w:t>
      </w:r>
      <w:r w:rsidRPr="001E09E3">
        <w:rPr>
          <w:rFonts w:ascii="Times New Roman" w:hAnsi="Times New Roman"/>
          <w:sz w:val="24"/>
          <w:szCs w:val="24"/>
          <w:vertAlign w:val="superscript"/>
        </w:rPr>
        <w:t>st</w:t>
      </w:r>
      <w:r>
        <w:rPr>
          <w:rFonts w:ascii="Times New Roman" w:hAnsi="Times New Roman"/>
          <w:sz w:val="24"/>
          <w:szCs w:val="24"/>
        </w:rPr>
        <w:t xml:space="preserve"> April 2020). Kindly email your</w:t>
      </w:r>
      <w:r w:rsidRPr="002D1676">
        <w:rPr>
          <w:rFonts w:ascii="Times New Roman" w:hAnsi="Times New Roman"/>
          <w:sz w:val="24"/>
          <w:szCs w:val="24"/>
        </w:rPr>
        <w:t xml:space="preserve"> response </w:t>
      </w:r>
      <w:r>
        <w:rPr>
          <w:rFonts w:ascii="Times New Roman" w:hAnsi="Times New Roman"/>
          <w:sz w:val="24"/>
          <w:szCs w:val="24"/>
        </w:rPr>
        <w:t>t</w:t>
      </w:r>
      <w:r w:rsidRPr="002D1676">
        <w:rPr>
          <w:rFonts w:ascii="Times New Roman" w:hAnsi="Times New Roman"/>
          <w:sz w:val="24"/>
          <w:szCs w:val="24"/>
        </w:rPr>
        <w:t>o</w:t>
      </w:r>
      <w:r>
        <w:rPr>
          <w:rFonts w:ascii="Times New Roman" w:hAnsi="Times New Roman"/>
          <w:sz w:val="24"/>
          <w:szCs w:val="24"/>
        </w:rPr>
        <w:t xml:space="preserve"> </w:t>
      </w:r>
      <w:hyperlink r:id="rId9" w:history="1">
        <w:r w:rsidRPr="00F536FD">
          <w:rPr>
            <w:rStyle w:val="Hyperlink"/>
            <w:rFonts w:ascii="Times New Roman" w:hAnsi="Times New Roman"/>
            <w:sz w:val="24"/>
            <w:szCs w:val="24"/>
          </w:rPr>
          <w:t>katspk2003@gmail.com</w:t>
        </w:r>
      </w:hyperlink>
      <w:r>
        <w:rPr>
          <w:rFonts w:ascii="Times New Roman" w:hAnsi="Times New Roman"/>
          <w:sz w:val="24"/>
          <w:szCs w:val="24"/>
        </w:rPr>
        <w:t xml:space="preserve"> . </w:t>
      </w:r>
      <w:r w:rsidRPr="002D1676">
        <w:rPr>
          <w:rFonts w:ascii="Times New Roman" w:hAnsi="Times New Roman"/>
          <w:sz w:val="24"/>
          <w:szCs w:val="24"/>
        </w:rPr>
        <w:t>Should you also seek further clarification, please reach me on the above email or mobile number +256 752 425 296.</w:t>
      </w:r>
    </w:p>
    <w:p w:rsidR="00C67E74" w:rsidRPr="00C67E74" w:rsidRDefault="00C67E74" w:rsidP="00C67E74"/>
    <w:tbl>
      <w:tblPr>
        <w:tblW w:w="5000" w:type="pct"/>
        <w:tblLayout w:type="fixed"/>
        <w:tblLook w:val="04A0" w:firstRow="1" w:lastRow="0" w:firstColumn="1" w:lastColumn="0" w:noHBand="0" w:noVBand="1"/>
      </w:tblPr>
      <w:tblGrid>
        <w:gridCol w:w="2717"/>
        <w:gridCol w:w="1710"/>
        <w:gridCol w:w="4501"/>
        <w:gridCol w:w="1260"/>
        <w:gridCol w:w="1800"/>
        <w:gridCol w:w="1188"/>
      </w:tblGrid>
      <w:tr w:rsidR="00E5608D" w:rsidRPr="00042F40" w:rsidTr="00E5608D">
        <w:trPr>
          <w:trHeight w:val="67"/>
        </w:trPr>
        <w:tc>
          <w:tcPr>
            <w:tcW w:w="1031" w:type="pct"/>
            <w:tcBorders>
              <w:top w:val="single" w:sz="8" w:space="0" w:color="auto"/>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Competency domains, sub-domains and competencies (knowledge and skills) required for the practice of Human Nutrition/Human Nutrition and Dietetics in Uganda</w:t>
            </w:r>
          </w:p>
        </w:tc>
        <w:tc>
          <w:tcPr>
            <w:tcW w:w="649" w:type="pct"/>
            <w:tcBorders>
              <w:top w:val="single" w:sz="8" w:space="0" w:color="auto"/>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 Participants that Agreed with the Statement in the 1</w:t>
            </w:r>
            <w:r w:rsidRPr="00042F40">
              <w:rPr>
                <w:rFonts w:ascii="Times New Roman" w:eastAsia="Times New Roman" w:hAnsi="Times New Roman"/>
                <w:b/>
                <w:bCs/>
                <w:sz w:val="20"/>
                <w:szCs w:val="20"/>
                <w:vertAlign w:val="superscript"/>
              </w:rPr>
              <w:t>st</w:t>
            </w:r>
            <w:r w:rsidRPr="00042F40">
              <w:rPr>
                <w:rFonts w:ascii="Times New Roman" w:eastAsia="Times New Roman" w:hAnsi="Times New Roman"/>
                <w:b/>
                <w:bCs/>
                <w:sz w:val="20"/>
                <w:szCs w:val="20"/>
              </w:rPr>
              <w:t xml:space="preserve">  Delphi Round</w:t>
            </w:r>
          </w:p>
        </w:tc>
        <w:tc>
          <w:tcPr>
            <w:tcW w:w="1708" w:type="pct"/>
            <w:tcBorders>
              <w:top w:val="single" w:sz="8" w:space="0" w:color="auto"/>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Comments by Participants to Justify their Ratings in the First Round</w:t>
            </w:r>
          </w:p>
        </w:tc>
        <w:tc>
          <w:tcPr>
            <w:tcW w:w="478" w:type="pct"/>
            <w:tcBorders>
              <w:top w:val="single" w:sz="8" w:space="0" w:color="auto"/>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Level of Agreement 1. Disagree</w:t>
            </w:r>
          </w:p>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2. Agree</w:t>
            </w:r>
          </w:p>
        </w:tc>
        <w:tc>
          <w:tcPr>
            <w:tcW w:w="683" w:type="pct"/>
            <w:tcBorders>
              <w:top w:val="single" w:sz="8" w:space="0" w:color="auto"/>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Level of Training</w:t>
            </w:r>
          </w:p>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 Undergraduate</w:t>
            </w:r>
          </w:p>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2. Masters</w:t>
            </w:r>
          </w:p>
        </w:tc>
        <w:tc>
          <w:tcPr>
            <w:tcW w:w="451" w:type="pct"/>
            <w:tcBorders>
              <w:top w:val="single" w:sz="8" w:space="0" w:color="auto"/>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Please Provide Comment or Justification</w:t>
            </w:r>
          </w:p>
        </w:tc>
      </w:tr>
      <w:tr w:rsidR="00E5608D" w:rsidRPr="00042F40" w:rsidTr="00E5608D">
        <w:trPr>
          <w:trHeight w:val="1177"/>
        </w:trPr>
        <w:tc>
          <w:tcPr>
            <w:tcW w:w="1031"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1.6.2 Demonstrates skills on using approved QI tools to facilitate the sustainable delivery of quality and equitable nutrition services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78.6</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“Important for programme monitoring” </w:t>
            </w:r>
            <w:r w:rsidRPr="00042F40">
              <w:rPr>
                <w:rFonts w:ascii="Times New Roman" w:eastAsia="Times New Roman" w:hAnsi="Times New Roman"/>
                <w:color w:val="000000"/>
                <w:sz w:val="20"/>
                <w:szCs w:val="20"/>
              </w:rPr>
              <w:br/>
              <w:t xml:space="preserve">“QI should generally be facilitated and monitored by MSC and BSC students because of its complexity in assessment, analysis, evaluation, engagement of multi-disciplinary health teams etc.” </w:t>
            </w:r>
            <w:r w:rsidRPr="00042F40">
              <w:rPr>
                <w:rFonts w:ascii="Times New Roman" w:eastAsia="Times New Roman" w:hAnsi="Times New Roman"/>
                <w:color w:val="000000"/>
                <w:sz w:val="20"/>
                <w:szCs w:val="20"/>
              </w:rPr>
              <w:br/>
              <w:t>“Quality improvement methods and the tools are not covered during the university training. E.g. PDSA</w:t>
            </w:r>
            <w:r w:rsidRPr="00042F40">
              <w:rPr>
                <w:rFonts w:ascii="Times New Roman" w:eastAsia="Times New Roman" w:hAnsi="Times New Roman"/>
                <w:color w:val="000000"/>
                <w:sz w:val="20"/>
                <w:szCs w:val="20"/>
              </w:rPr>
              <w:br/>
              <w:t xml:space="preserve">institutes skills in all personnel and promotes full utilization of skills” </w:t>
            </w:r>
            <w:r w:rsidRPr="00042F40">
              <w:rPr>
                <w:rFonts w:ascii="Times New Roman" w:eastAsia="Times New Roman" w:hAnsi="Times New Roman"/>
                <w:color w:val="000000"/>
                <w:sz w:val="20"/>
                <w:szCs w:val="20"/>
              </w:rPr>
              <w:br/>
              <w:t>“Because this is a more important area and thus should be limited at Bachelors &amp; Masters level”</w:t>
            </w:r>
            <w:r w:rsidRPr="00042F40">
              <w:rPr>
                <w:rFonts w:ascii="Times New Roman" w:eastAsia="Times New Roman" w:hAnsi="Times New Roman"/>
                <w:color w:val="000000"/>
                <w:sz w:val="20"/>
                <w:szCs w:val="20"/>
              </w:rPr>
              <w:br/>
            </w:r>
            <w:r w:rsidRPr="00042F40">
              <w:rPr>
                <w:rFonts w:ascii="Times New Roman" w:eastAsia="Times New Roman" w:hAnsi="Times New Roman"/>
                <w:color w:val="000000"/>
                <w:sz w:val="20"/>
                <w:szCs w:val="20"/>
              </w:rPr>
              <w:lastRenderedPageBreak/>
              <w:t>‘An M&amp;E officer can be employed to do this thus it is an optional skill”</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3.1.6 Demonstrates knowledge and skills to analyse the influence of existing national laws, regulations, policies, and sectoral plans on food security and livelihoods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64.1</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“Not covered in depth by students at university”</w:t>
            </w:r>
            <w:r w:rsidRPr="00042F40">
              <w:rPr>
                <w:rFonts w:ascii="Times New Roman" w:eastAsia="Times New Roman" w:hAnsi="Times New Roman"/>
                <w:color w:val="000000"/>
                <w:sz w:val="20"/>
                <w:szCs w:val="20"/>
              </w:rPr>
              <w:br/>
              <w:t>“Issues to do with policy analysis require a lot of critical thinking, a skill usually developed at the master’s level”</w:t>
            </w:r>
            <w:r w:rsidRPr="00042F40">
              <w:rPr>
                <w:rFonts w:ascii="Times New Roman" w:eastAsia="Times New Roman" w:hAnsi="Times New Roman"/>
                <w:color w:val="000000"/>
                <w:sz w:val="20"/>
                <w:szCs w:val="20"/>
              </w:rPr>
              <w:br/>
              <w:t>“Because bachelor’s and master’s graduates are the ones involved in planning and thus better suited to study this”</w:t>
            </w:r>
          </w:p>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“One may have the knowledge of the impact of the existing national laws, regulations, policies but may not be in position to influence changes in the analysis made”</w:t>
            </w:r>
            <w:r w:rsidRPr="00042F40">
              <w:rPr>
                <w:rFonts w:ascii="Times New Roman" w:eastAsia="Times New Roman" w:hAnsi="Times New Roman"/>
                <w:color w:val="000000"/>
                <w:sz w:val="20"/>
                <w:szCs w:val="20"/>
              </w:rPr>
              <w:br/>
              <w:t>“May need basic information only.”</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2320"/>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3.1.10 Demonstrates knowledge and skills of livestock production</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75.7</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24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“Not strongly needed in the nutrition workspace. Normally done by agricultural officers. A nutritionist can pursue this as a separate course because the skill set under an HND program would not be sufficient to enable them compete with specialised agricultural officers” </w:t>
            </w:r>
            <w:r w:rsidRPr="00042F40">
              <w:rPr>
                <w:rFonts w:ascii="Times New Roman" w:eastAsia="Times New Roman" w:hAnsi="Times New Roman"/>
                <w:color w:val="000000"/>
                <w:sz w:val="20"/>
                <w:szCs w:val="20"/>
              </w:rPr>
              <w:br/>
              <w:t xml:space="preserve">“Livestock production is a good practice but may not necessarily result in good nutrition outcomes. It can however be very crucial in improving household income/livelihoods” </w:t>
            </w:r>
            <w:r w:rsidRPr="00042F40">
              <w:rPr>
                <w:rFonts w:ascii="Times New Roman" w:eastAsia="Times New Roman" w:hAnsi="Times New Roman"/>
                <w:color w:val="000000"/>
                <w:sz w:val="20"/>
                <w:szCs w:val="20"/>
              </w:rPr>
              <w:br/>
              <w:t>“Needs basic knowledge and skills. More can be contributed by a person with training in that field e.g. Agricultural Extension officer”</w:t>
            </w:r>
            <w:r w:rsidRPr="00042F40">
              <w:rPr>
                <w:rFonts w:ascii="Times New Roman" w:eastAsia="Times New Roman" w:hAnsi="Times New Roman"/>
                <w:color w:val="000000"/>
                <w:sz w:val="20"/>
                <w:szCs w:val="20"/>
              </w:rPr>
              <w:br/>
              <w:t>“Only if it is basic information”</w:t>
            </w:r>
            <w:r w:rsidRPr="00042F40">
              <w:rPr>
                <w:rFonts w:ascii="Times New Roman" w:eastAsia="Times New Roman" w:hAnsi="Times New Roman"/>
                <w:color w:val="000000"/>
                <w:sz w:val="20"/>
                <w:szCs w:val="20"/>
              </w:rPr>
              <w:br/>
              <w:t xml:space="preserve">“This is a technical topic that can be left to agronomists” </w:t>
            </w:r>
            <w:r w:rsidRPr="00042F40">
              <w:rPr>
                <w:rFonts w:ascii="Times New Roman" w:eastAsia="Times New Roman" w:hAnsi="Times New Roman"/>
                <w:color w:val="000000"/>
                <w:sz w:val="20"/>
                <w:szCs w:val="20"/>
              </w:rPr>
              <w:br/>
              <w:t>“This can partly be done by a nutritionist or an agricultural personnel”</w:t>
            </w:r>
            <w:r w:rsidRPr="00042F40">
              <w:rPr>
                <w:rFonts w:ascii="Times New Roman" w:eastAsia="Times New Roman" w:hAnsi="Times New Roman"/>
                <w:color w:val="000000"/>
                <w:sz w:val="20"/>
                <w:szCs w:val="20"/>
              </w:rPr>
              <w:br/>
              <w:t>“This is pre-empting all other profession. Building a self-contained nutrition professional fails multi-sectoral programming”</w:t>
            </w:r>
            <w:r w:rsidRPr="00042F40">
              <w:rPr>
                <w:rFonts w:ascii="Times New Roman" w:eastAsia="Times New Roman" w:hAnsi="Times New Roman"/>
                <w:color w:val="000000"/>
                <w:sz w:val="20"/>
                <w:szCs w:val="20"/>
              </w:rPr>
              <w:br/>
            </w:r>
            <w:r w:rsidRPr="00042F40">
              <w:rPr>
                <w:rFonts w:ascii="Times New Roman" w:eastAsia="Times New Roman" w:hAnsi="Times New Roman"/>
                <w:color w:val="000000"/>
                <w:sz w:val="20"/>
                <w:szCs w:val="20"/>
              </w:rPr>
              <w:lastRenderedPageBreak/>
              <w:t>“Still this can be implemented by the agricultural sector, however, the nutritionist may require the basics”</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1996"/>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3.2.2 Demonstrates knowledge and skills to apply the principles of Hazard Analysis and Critical Control Point (HACCP) in the food industry</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78.6</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24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“This can be left for food Technologists”</w:t>
            </w:r>
            <w:r w:rsidRPr="00042F40">
              <w:rPr>
                <w:rFonts w:ascii="Times New Roman" w:eastAsia="Times New Roman" w:hAnsi="Times New Roman"/>
                <w:color w:val="000000"/>
                <w:sz w:val="20"/>
                <w:szCs w:val="20"/>
              </w:rPr>
              <w:br/>
              <w:t>“Irrelevant to nutrition work”</w:t>
            </w:r>
            <w:r w:rsidRPr="00042F40">
              <w:rPr>
                <w:rFonts w:ascii="Times New Roman" w:eastAsia="Times New Roman" w:hAnsi="Times New Roman"/>
                <w:color w:val="000000"/>
                <w:sz w:val="20"/>
                <w:szCs w:val="20"/>
              </w:rPr>
              <w:br/>
              <w:t xml:space="preserve">“It may or may not be a necessary skill unless if one works in a food industry” </w:t>
            </w:r>
            <w:r w:rsidRPr="00042F40">
              <w:rPr>
                <w:rFonts w:ascii="Times New Roman" w:eastAsia="Times New Roman" w:hAnsi="Times New Roman"/>
                <w:color w:val="000000"/>
                <w:sz w:val="20"/>
                <w:szCs w:val="20"/>
              </w:rPr>
              <w:br/>
              <w:t xml:space="preserve">“Such skills are more required of a food scientist, however, a nutritionist may need to work with them to ensure quality food reach the final consumer” </w:t>
            </w:r>
            <w:r w:rsidRPr="00042F40">
              <w:rPr>
                <w:rFonts w:ascii="Times New Roman" w:eastAsia="Times New Roman" w:hAnsi="Times New Roman"/>
                <w:color w:val="000000"/>
                <w:sz w:val="20"/>
                <w:szCs w:val="20"/>
              </w:rPr>
              <w:br/>
              <w:t>“Good for risk identification, but not necessary for nutritionists. Can be learnt on job”</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5.2.1 Demonstrates knowledge and skills on the application of appropriate statistical tests (both parametric and non-parametric)</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78.8</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“Anyone doing research should have skills in applying the appropriate statistical tests depending on the nature of study and to make decisions about that particular sample”</w:t>
            </w:r>
            <w:r w:rsidRPr="00042F40">
              <w:rPr>
                <w:rFonts w:ascii="Times New Roman" w:eastAsia="Times New Roman" w:hAnsi="Times New Roman"/>
                <w:color w:val="000000"/>
                <w:sz w:val="20"/>
                <w:szCs w:val="20"/>
              </w:rPr>
              <w:br/>
              <w:t>“Different tests give different indicators/results, therefore, a nutritionist requires  skills of choosing appropriate tests depending on the subject being investigated about”</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5.2.7 Demonstrates knowledge and skills necessary for reviewing, analysing, and writing synopses on relevant national and global level performance nutrition and health related data*</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54.5</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“Diploma students don't undertake internship during their training to cover all these”</w:t>
            </w:r>
            <w:r w:rsidRPr="00042F40">
              <w:rPr>
                <w:rFonts w:ascii="Times New Roman" w:eastAsia="Times New Roman" w:hAnsi="Times New Roman"/>
                <w:color w:val="000000"/>
                <w:sz w:val="20"/>
                <w:szCs w:val="20"/>
              </w:rPr>
              <w:br/>
              <w:t>“Improves program service delivery and M&amp;E”</w:t>
            </w:r>
            <w:r w:rsidRPr="00042F40">
              <w:rPr>
                <w:rFonts w:ascii="Times New Roman" w:eastAsia="Times New Roman" w:hAnsi="Times New Roman"/>
                <w:color w:val="000000"/>
                <w:sz w:val="20"/>
                <w:szCs w:val="20"/>
              </w:rPr>
              <w:br/>
              <w:t>“This requires at least a masters  or bachelor’s degree holder”</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1965"/>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 xml:space="preserve">5.2.8 Demonstrates knowledge and skills of planning and hosting seminars, workshops and conferences as well as sharing nutrition research with all relevant stakeholders using different </w:t>
            </w:r>
            <w:proofErr w:type="spellStart"/>
            <w:r w:rsidRPr="00042F40">
              <w:rPr>
                <w:rFonts w:ascii="Times New Roman" w:eastAsia="Times New Roman" w:hAnsi="Times New Roman"/>
                <w:color w:val="000000"/>
                <w:sz w:val="20"/>
                <w:szCs w:val="20"/>
              </w:rPr>
              <w:t>fora</w:t>
            </w:r>
            <w:proofErr w:type="spellEnd"/>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74.2</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“Improves program service delivery and M&amp;E”</w:t>
            </w:r>
            <w:r w:rsidRPr="00042F40">
              <w:rPr>
                <w:rFonts w:ascii="Times New Roman" w:eastAsia="Times New Roman" w:hAnsi="Times New Roman"/>
                <w:color w:val="000000"/>
                <w:sz w:val="20"/>
                <w:szCs w:val="20"/>
              </w:rPr>
              <w:br/>
              <w:t>“Someone with a master’s degree is at least in position to organise and host big workshops and seminars with different stakeholders”</w:t>
            </w:r>
            <w:r w:rsidRPr="00042F40">
              <w:rPr>
                <w:rFonts w:ascii="Times New Roman" w:eastAsia="Times New Roman" w:hAnsi="Times New Roman"/>
                <w:color w:val="000000"/>
                <w:sz w:val="20"/>
                <w:szCs w:val="20"/>
              </w:rPr>
              <w:br/>
              <w:t>“It is important to conduct and share research to inform policy.</w:t>
            </w:r>
            <w:r w:rsidRPr="00042F40">
              <w:rPr>
                <w:rFonts w:ascii="Times New Roman" w:eastAsia="Times New Roman" w:hAnsi="Times New Roman"/>
                <w:color w:val="000000"/>
                <w:sz w:val="20"/>
                <w:szCs w:val="20"/>
              </w:rPr>
              <w:br/>
              <w:t>Important for  communication”</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Cs/>
                <w:color w:val="000000"/>
                <w:sz w:val="20"/>
                <w:szCs w:val="20"/>
              </w:rPr>
            </w:pPr>
            <w:r w:rsidRPr="00042F40">
              <w:rPr>
                <w:rFonts w:ascii="Times New Roman" w:eastAsia="Times New Roman" w:hAnsi="Times New Roman"/>
                <w:bCs/>
                <w:color w:val="000000"/>
                <w:sz w:val="20"/>
                <w:szCs w:val="20"/>
              </w:rPr>
              <w:t>6.1 Policy: Demonstrates knowledge and skills to contribute to the different stages of the policy cycle (Formulation, Implementation and Evaluation)</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78.7</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“Improves program service delivery and M&amp;E”</w:t>
            </w:r>
            <w:r w:rsidRPr="00042F40">
              <w:rPr>
                <w:rFonts w:ascii="Times New Roman" w:eastAsia="Times New Roman" w:hAnsi="Times New Roman"/>
                <w:color w:val="000000"/>
                <w:sz w:val="20"/>
                <w:szCs w:val="20"/>
              </w:rPr>
              <w:br/>
              <w:t>“At all levels, nutritionists should actively be involved in at least one or all the stages of the policy cycle”</w:t>
            </w:r>
            <w:r w:rsidRPr="00042F40">
              <w:rPr>
                <w:rFonts w:ascii="Times New Roman" w:eastAsia="Times New Roman" w:hAnsi="Times New Roman"/>
                <w:color w:val="000000"/>
                <w:sz w:val="20"/>
                <w:szCs w:val="20"/>
              </w:rPr>
              <w:br/>
              <w:t>“For masters because these cadres are involved in decision making and this requires knowledge of many policies”</w:t>
            </w:r>
            <w:r w:rsidRPr="00042F40">
              <w:rPr>
                <w:rFonts w:ascii="Times New Roman" w:eastAsia="Times New Roman" w:hAnsi="Times New Roman"/>
                <w:color w:val="000000"/>
                <w:sz w:val="20"/>
                <w:szCs w:val="20"/>
              </w:rPr>
              <w:br/>
              <w:t>“Bachelor students should be introduced to Policy , Advocacy and SBCC for Nutrition as specific modules  during their training and</w:t>
            </w:r>
            <w:r w:rsidRPr="00042F40">
              <w:rPr>
                <w:rFonts w:ascii="Times New Roman" w:eastAsia="Times New Roman" w:hAnsi="Times New Roman"/>
                <w:color w:val="000000"/>
                <w:sz w:val="20"/>
                <w:szCs w:val="20"/>
              </w:rPr>
              <w:br/>
              <w:t>proper acquaintance on the existing policies at bachelors should be ensured”</w:t>
            </w:r>
            <w:r w:rsidRPr="00042F40">
              <w:rPr>
                <w:rFonts w:ascii="Times New Roman" w:eastAsia="Times New Roman" w:hAnsi="Times New Roman"/>
                <w:color w:val="000000"/>
                <w:sz w:val="20"/>
                <w:szCs w:val="20"/>
              </w:rPr>
              <w:br/>
              <w:t>“This could be an elective for undergraduates”</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6.1.1 Demonstrates knowledge of the different national policies; laws; regulations; and sectoral policies and plans relevant to nutrition</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77.3</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“All nutritionists should keep updated with relevant information such as policies, laws, regulations relevant to nutrition. These should be the basis of our day to day work”</w:t>
            </w:r>
            <w:r w:rsidRPr="00042F40">
              <w:rPr>
                <w:rFonts w:ascii="Times New Roman" w:eastAsia="Times New Roman" w:hAnsi="Times New Roman"/>
                <w:color w:val="000000"/>
                <w:sz w:val="20"/>
                <w:szCs w:val="20"/>
              </w:rPr>
              <w:br/>
              <w:t>“This informs programing activities and should be taught because students have to learn about the different policies and how they are integrated into normal programming at community levels”</w:t>
            </w:r>
            <w:r w:rsidRPr="00042F40">
              <w:rPr>
                <w:rFonts w:ascii="Times New Roman" w:eastAsia="Times New Roman" w:hAnsi="Times New Roman"/>
                <w:color w:val="000000"/>
                <w:sz w:val="20"/>
                <w:szCs w:val="20"/>
              </w:rPr>
              <w:br/>
              <w:t xml:space="preserve">“Advanced content” </w:t>
            </w:r>
            <w:r w:rsidRPr="00042F40">
              <w:rPr>
                <w:rFonts w:ascii="Times New Roman" w:eastAsia="Times New Roman" w:hAnsi="Times New Roman"/>
                <w:color w:val="000000"/>
                <w:sz w:val="20"/>
                <w:szCs w:val="20"/>
              </w:rPr>
              <w:br/>
              <w:t>“Whatever is done should be in the limits of law governing a given profession, this protects you from public prosecutions”</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6.1.2 Demonstrates knowledge and skills to contribute to the formulation of nutrition policies and guidelines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69.7</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“Diploma students don't undertake internship during their training to cover all these” </w:t>
            </w:r>
            <w:r w:rsidRPr="00042F40">
              <w:rPr>
                <w:rFonts w:ascii="Times New Roman" w:eastAsia="Times New Roman" w:hAnsi="Times New Roman"/>
                <w:color w:val="000000"/>
                <w:sz w:val="20"/>
                <w:szCs w:val="20"/>
              </w:rPr>
              <w:br/>
              <w:t xml:space="preserve">“All nutritionists at all levels should have the capability to contribute to the formulation of nutrition policies and guidelines given the </w:t>
            </w:r>
            <w:r w:rsidRPr="00042F40">
              <w:rPr>
                <w:rFonts w:ascii="Times New Roman" w:eastAsia="Times New Roman" w:hAnsi="Times New Roman"/>
                <w:color w:val="000000"/>
                <w:sz w:val="20"/>
                <w:szCs w:val="20"/>
              </w:rPr>
              <w:lastRenderedPageBreak/>
              <w:t>opportunity to do so”</w:t>
            </w:r>
          </w:p>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“Every nutritionists needs to be a resourceful person in nutrition”</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142"/>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6.1.3 Demonstrates knowledge and skills to contribute to the evaluation/analysis of nutrition policies and guidelines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60.0</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24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“Improves service delivery, accountability and workforce management”</w:t>
            </w:r>
            <w:r w:rsidRPr="00042F40">
              <w:rPr>
                <w:rFonts w:ascii="Times New Roman" w:eastAsia="Times New Roman" w:hAnsi="Times New Roman"/>
                <w:color w:val="000000"/>
                <w:sz w:val="20"/>
                <w:szCs w:val="20"/>
              </w:rPr>
              <w:br/>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Cs/>
                <w:color w:val="000000"/>
                <w:sz w:val="20"/>
                <w:szCs w:val="20"/>
              </w:rPr>
            </w:pPr>
            <w:r w:rsidRPr="00042F40">
              <w:rPr>
                <w:rFonts w:ascii="Times New Roman" w:eastAsia="Times New Roman" w:hAnsi="Times New Roman"/>
                <w:bCs/>
                <w:color w:val="000000"/>
                <w:sz w:val="20"/>
                <w:szCs w:val="20"/>
              </w:rPr>
              <w:t>6.2 Advocacy: Demonstrates knowledge and skills necessary for planning and managing nutrition related advocacy campaigns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77.3</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“Planning and management skills are core in ensuring success of any campaigns”</w:t>
            </w:r>
            <w:r w:rsidRPr="00042F40">
              <w:rPr>
                <w:rFonts w:ascii="Times New Roman" w:eastAsia="Times New Roman" w:hAnsi="Times New Roman"/>
                <w:color w:val="000000"/>
                <w:sz w:val="20"/>
                <w:szCs w:val="20"/>
              </w:rPr>
              <w:br/>
              <w:t>“A speciality in management of nutrition programmes can be created”</w:t>
            </w:r>
            <w:r w:rsidRPr="00042F40">
              <w:rPr>
                <w:rFonts w:ascii="Times New Roman" w:eastAsia="Times New Roman" w:hAnsi="Times New Roman"/>
                <w:color w:val="000000"/>
                <w:sz w:val="20"/>
                <w:szCs w:val="20"/>
              </w:rPr>
              <w:br/>
              <w:t>“The depth of content will differ from Diploma to Masters”</w:t>
            </w:r>
            <w:r w:rsidRPr="00042F40">
              <w:rPr>
                <w:rFonts w:ascii="Times New Roman" w:eastAsia="Times New Roman" w:hAnsi="Times New Roman"/>
                <w:color w:val="000000"/>
                <w:sz w:val="20"/>
                <w:szCs w:val="20"/>
              </w:rPr>
              <w:br/>
              <w:t>“Improve service delivery, accountability and workforce management”</w:t>
            </w:r>
            <w:r w:rsidRPr="00042F40">
              <w:rPr>
                <w:rFonts w:ascii="Times New Roman" w:eastAsia="Times New Roman" w:hAnsi="Times New Roman"/>
                <w:color w:val="000000"/>
                <w:sz w:val="20"/>
                <w:szCs w:val="20"/>
              </w:rPr>
              <w:br/>
              <w:t>“Integration of capacity building and awareness creation as key components of advocacy”</w:t>
            </w:r>
            <w:r w:rsidRPr="00042F40">
              <w:rPr>
                <w:rFonts w:ascii="Times New Roman" w:eastAsia="Times New Roman" w:hAnsi="Times New Roman"/>
                <w:color w:val="000000"/>
                <w:sz w:val="20"/>
                <w:szCs w:val="20"/>
              </w:rPr>
              <w:br/>
              <w:t>“This skill may require at least one with a bachelors or master’s degree”</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6.2.1 Demonstrates knowledge and skills required to undertake evidence-based policy and budget advocacy at different levels to influence change for nutrition</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55.2</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“I suggest this be MSC role. At MSC level I assume that a student has amassed some experience in practice at field level hence able to advocate for better policy basing on trends, current affairs and lessons learnt”</w:t>
            </w:r>
            <w:r w:rsidRPr="00042F40">
              <w:rPr>
                <w:rFonts w:ascii="Times New Roman" w:eastAsia="Times New Roman" w:hAnsi="Times New Roman"/>
                <w:color w:val="000000"/>
                <w:sz w:val="20"/>
                <w:szCs w:val="20"/>
              </w:rPr>
              <w:br/>
              <w:t>“This may require one with a master’s degree and experience.</w:t>
            </w:r>
            <w:r w:rsidRPr="00042F40">
              <w:rPr>
                <w:rFonts w:ascii="Times New Roman" w:eastAsia="Times New Roman" w:hAnsi="Times New Roman"/>
                <w:color w:val="000000"/>
                <w:sz w:val="20"/>
                <w:szCs w:val="20"/>
              </w:rPr>
              <w:br/>
              <w:t>Requires high level synthesis”</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1384"/>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6.2.2 Demonstrates knowledge of the different phases in developing advocacy strategies/plans (goal development; identification of primary and secondary audiences; identifying potential allies and opponents; selecting effective advocacy approaches; identification/development of </w:t>
            </w:r>
            <w:r w:rsidRPr="00042F40">
              <w:rPr>
                <w:rFonts w:ascii="Times New Roman" w:eastAsia="Times New Roman" w:hAnsi="Times New Roman"/>
                <w:color w:val="000000"/>
                <w:sz w:val="20"/>
                <w:szCs w:val="20"/>
              </w:rPr>
              <w:lastRenderedPageBreak/>
              <w:t>advocacy messages; budgeting and identification of resources; and undertaking risk assessments for the developed strategies/plans)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lastRenderedPageBreak/>
              <w:t>59.7</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“This may require one with a master’s degree and experience”</w:t>
            </w:r>
            <w:r w:rsidRPr="00042F40">
              <w:rPr>
                <w:rFonts w:ascii="Times New Roman" w:eastAsia="Times New Roman" w:hAnsi="Times New Roman"/>
                <w:color w:val="000000"/>
                <w:sz w:val="20"/>
                <w:szCs w:val="20"/>
              </w:rPr>
              <w:br/>
              <w:t>“For master’s and bachelor’s because these are involved in donor engagements and thus knowledge of advocacy is key to them</w:t>
            </w:r>
            <w:r w:rsidRPr="00042F40">
              <w:rPr>
                <w:rFonts w:ascii="Times New Roman" w:eastAsia="Times New Roman" w:hAnsi="Times New Roman"/>
                <w:color w:val="000000"/>
                <w:sz w:val="20"/>
                <w:szCs w:val="20"/>
              </w:rPr>
              <w:br/>
              <w:t>At bachelors, this would be a learned experience”</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6.2.3 Demonstrates knowledge and skills to use advocacy techniques (e.g. policy monitoring and public accountability, policy dialogues, capacity building of stakeholders advocacy)</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62.7</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“I suggest this be MSC role. At MSC level I assume that a student has amassed some experience in practice at field level thence able to advocate for better policy basing on trends, current affairs and lessons learnt”</w:t>
            </w:r>
            <w:r w:rsidRPr="00042F40">
              <w:rPr>
                <w:rFonts w:ascii="Times New Roman" w:eastAsia="Times New Roman" w:hAnsi="Times New Roman"/>
                <w:color w:val="000000"/>
                <w:sz w:val="20"/>
                <w:szCs w:val="20"/>
              </w:rPr>
              <w:br/>
              <w:t>“This may require one with a master’s degree and experience”</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6.2.4 Demonstrates knowledge and skills to develop different advocacy tools (e.g. clear and concise audio messages) suitable for use across different channels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77.3</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“I suggest that MSC students should at least have one year experience to build on their understanding of policy, what happens in the field, what works and what doesn’t” </w:t>
            </w:r>
            <w:r w:rsidRPr="00042F40">
              <w:rPr>
                <w:rFonts w:ascii="Times New Roman" w:eastAsia="Times New Roman" w:hAnsi="Times New Roman"/>
                <w:color w:val="000000"/>
                <w:sz w:val="20"/>
                <w:szCs w:val="20"/>
              </w:rPr>
              <w:br/>
              <w:t>“Advocacy tools can at least be developed by nutritionists at all levels for example the audio and visual messages as long as one has knowledge of what is being advocated for”</w:t>
            </w:r>
            <w:r w:rsidRPr="00042F40">
              <w:rPr>
                <w:rFonts w:ascii="Times New Roman" w:eastAsia="Times New Roman" w:hAnsi="Times New Roman"/>
                <w:color w:val="000000"/>
                <w:sz w:val="20"/>
                <w:szCs w:val="20"/>
              </w:rPr>
              <w:br/>
              <w:t>“May require experience for bachelors and high level synthesis for masters”</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28"/>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6.2.6 Demonstrates knowledge and skills to undertake national and local level nutrition advocacy targeting decision-makers or influencers (politicians, government officials, public servants, privates sector leaders, local authority leaders, Development agencies, other INGO's, humanitarian actors, religious, and cultural leaders)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79.1</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“At each level, at least nutritionists should be able to involve in nutrition advocacy, either at national or local level depending on the nature of work and where they work”</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592"/>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6.2.7 Demonstrates knowledge and skills to implement, monitor and evaluate the </w:t>
            </w:r>
            <w:r w:rsidRPr="00042F40">
              <w:rPr>
                <w:rFonts w:ascii="Times New Roman" w:eastAsia="Times New Roman" w:hAnsi="Times New Roman"/>
                <w:color w:val="000000"/>
                <w:sz w:val="20"/>
                <w:szCs w:val="20"/>
              </w:rPr>
              <w:lastRenderedPageBreak/>
              <w:t>impact of advocacy initiatives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lastRenderedPageBreak/>
              <w:t>68.7</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24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“At whichever level one is involved in advocacy, one should be able to implement, monitor and evaluate </w:t>
            </w:r>
            <w:r w:rsidRPr="00042F40">
              <w:rPr>
                <w:rFonts w:ascii="Times New Roman" w:eastAsia="Times New Roman" w:hAnsi="Times New Roman"/>
                <w:color w:val="000000"/>
                <w:sz w:val="20"/>
                <w:szCs w:val="20"/>
              </w:rPr>
              <w:lastRenderedPageBreak/>
              <w:t>the impact their advocacy had created”</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7.1.2 Demonstrates knowledge and skills to develop nutrition program or project work plans and budgets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77.3</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“Work plans should be prepared by anyone at this level. Budgets are usually done by project managers but all nutritionists at this level should be empowered with this skill”</w:t>
            </w:r>
            <w:r w:rsidRPr="00042F40">
              <w:rPr>
                <w:rFonts w:ascii="Times New Roman" w:eastAsia="Times New Roman" w:hAnsi="Times New Roman"/>
                <w:color w:val="000000"/>
                <w:sz w:val="20"/>
                <w:szCs w:val="20"/>
              </w:rPr>
              <w:br/>
              <w:t>“Comes with experience”</w:t>
            </w:r>
            <w:r w:rsidRPr="00042F40">
              <w:rPr>
                <w:rFonts w:ascii="Times New Roman" w:eastAsia="Times New Roman" w:hAnsi="Times New Roman"/>
                <w:color w:val="000000"/>
                <w:sz w:val="20"/>
                <w:szCs w:val="20"/>
              </w:rPr>
              <w:br/>
              <w:t>“All project work within a specific time frame and budget limits, and also for appropriate monitoring and evaluation”</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232"/>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7.1.3 Demonstrates knowledge and skills to undertake resource mobilization (e.g. through raising of new resources, maximizing the use of already existing resources, and mapping of potential funders)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69.7</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“Improves service delivery, accountability and workforce management”</w:t>
            </w:r>
            <w:r w:rsidRPr="00042F40">
              <w:rPr>
                <w:rFonts w:ascii="Times New Roman" w:eastAsia="Times New Roman" w:hAnsi="Times New Roman"/>
                <w:color w:val="000000"/>
                <w:sz w:val="20"/>
                <w:szCs w:val="20"/>
              </w:rPr>
              <w:br/>
              <w:t>“For managers”</w:t>
            </w:r>
            <w:r w:rsidRPr="00042F40">
              <w:rPr>
                <w:rFonts w:ascii="Times New Roman" w:eastAsia="Times New Roman" w:hAnsi="Times New Roman"/>
                <w:color w:val="000000"/>
                <w:sz w:val="20"/>
                <w:szCs w:val="20"/>
              </w:rPr>
              <w:br/>
              <w:t>“I wish this part was given ample time say a whole semester. It is a very practical area. Does not make much sense in a class room setting”</w:t>
            </w:r>
            <w:r w:rsidRPr="00042F40">
              <w:rPr>
                <w:rFonts w:ascii="Times New Roman" w:eastAsia="Times New Roman" w:hAnsi="Times New Roman"/>
                <w:color w:val="000000"/>
                <w:sz w:val="20"/>
                <w:szCs w:val="20"/>
              </w:rPr>
              <w:br/>
              <w:t>“Advocacy is important at all levels”</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7.1.4 Demonstrates knowledge and skills to undertake nutrition program/project budget tracking</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78.5</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“This is a necessary requirement for someone aspiring to become a project manager”</w:t>
            </w:r>
            <w:r w:rsidRPr="00042F40">
              <w:rPr>
                <w:rFonts w:ascii="Times New Roman" w:eastAsia="Times New Roman" w:hAnsi="Times New Roman"/>
                <w:color w:val="000000"/>
                <w:sz w:val="20"/>
                <w:szCs w:val="20"/>
              </w:rPr>
              <w:br/>
              <w:t>“An advanced skill”</w:t>
            </w:r>
            <w:r w:rsidRPr="00042F40">
              <w:rPr>
                <w:rFonts w:ascii="Times New Roman" w:eastAsia="Times New Roman" w:hAnsi="Times New Roman"/>
                <w:color w:val="000000"/>
                <w:sz w:val="20"/>
                <w:szCs w:val="20"/>
              </w:rPr>
              <w:br/>
              <w:t>“To ensure all activities are done in the projected time frame and within budget limits”</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7.3.1 Demonstrates knowledge and skills to map relevant program/project stakeholders at different levels of planning and or implementation</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77.3</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“This is very important for people in managerial positions”</w:t>
            </w:r>
            <w:r w:rsidRPr="00042F40">
              <w:rPr>
                <w:rFonts w:ascii="Times New Roman" w:eastAsia="Times New Roman" w:hAnsi="Times New Roman"/>
                <w:color w:val="000000"/>
                <w:sz w:val="20"/>
                <w:szCs w:val="20"/>
              </w:rPr>
              <w:br/>
              <w:t>“This is only a transitional approach, science is bound to change and so will thinking. An option”</w:t>
            </w:r>
            <w:r w:rsidRPr="00042F40">
              <w:rPr>
                <w:rFonts w:ascii="Times New Roman" w:eastAsia="Times New Roman" w:hAnsi="Times New Roman"/>
                <w:color w:val="000000"/>
                <w:sz w:val="20"/>
                <w:szCs w:val="20"/>
              </w:rPr>
              <w:br/>
              <w:t>“Improve service delivery, accountability and workforce management”</w:t>
            </w:r>
            <w:r w:rsidRPr="00042F40">
              <w:rPr>
                <w:rFonts w:ascii="Times New Roman" w:eastAsia="Times New Roman" w:hAnsi="Times New Roman"/>
                <w:color w:val="000000"/>
                <w:sz w:val="20"/>
                <w:szCs w:val="20"/>
              </w:rPr>
              <w:br/>
              <w:t>“Requires a certain degree of expertise”</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7.3.4 Demonstrates knowledge on the composition, governance, and functionality of Multi Sectoral Coordination Committees at different levels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77.3</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“Nutrition coordination committees are very important in improving service delivery thus at this level one should have the knowledge of the different committees present, who sits on those committees and make use of them to improve service delivery.”</w:t>
            </w:r>
            <w:r w:rsidRPr="00042F40">
              <w:rPr>
                <w:rFonts w:ascii="Times New Roman" w:eastAsia="Times New Roman" w:hAnsi="Times New Roman"/>
                <w:color w:val="000000"/>
                <w:sz w:val="20"/>
                <w:szCs w:val="20"/>
              </w:rPr>
              <w:br/>
              <w:t xml:space="preserve">“It is the least a nutritionist at the bachelor’s and master’s level may know about the governance </w:t>
            </w:r>
            <w:r w:rsidRPr="00042F40">
              <w:rPr>
                <w:rFonts w:ascii="Times New Roman" w:eastAsia="Times New Roman" w:hAnsi="Times New Roman"/>
                <w:color w:val="000000"/>
                <w:sz w:val="20"/>
                <w:szCs w:val="20"/>
              </w:rPr>
              <w:lastRenderedPageBreak/>
              <w:t>structure of nutrition”</w:t>
            </w:r>
            <w:r w:rsidRPr="00042F40">
              <w:rPr>
                <w:rFonts w:ascii="Times New Roman" w:eastAsia="Times New Roman" w:hAnsi="Times New Roman"/>
                <w:color w:val="000000"/>
                <w:sz w:val="20"/>
                <w:szCs w:val="20"/>
              </w:rPr>
              <w:br/>
              <w:t>“Should be optional”</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7.4.3 Demonstrates knowledge and skills to analyse technical reports about the program/project and follow up on the implementation of recommendations</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72.7</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“Improves service delivery, accountability and workforce management”</w:t>
            </w:r>
            <w:r w:rsidRPr="00042F40">
              <w:rPr>
                <w:rFonts w:ascii="Times New Roman" w:eastAsia="Times New Roman" w:hAnsi="Times New Roman"/>
                <w:color w:val="000000"/>
                <w:sz w:val="20"/>
                <w:szCs w:val="20"/>
              </w:rPr>
              <w:br/>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7.5.1 Demonstrates knowledge of the relevance of undertaking program/project monitoring and evaluation</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78.8</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“At the bachelor’s and master’s level, one should have knowledge and skills of report analysis as it’s a necessary competence for bigger positions such as project managers” </w:t>
            </w:r>
            <w:r w:rsidRPr="00042F40">
              <w:rPr>
                <w:rFonts w:ascii="Times New Roman" w:eastAsia="Times New Roman" w:hAnsi="Times New Roman"/>
                <w:color w:val="000000"/>
                <w:sz w:val="20"/>
                <w:szCs w:val="20"/>
              </w:rPr>
              <w:br/>
              <w:t>“Great in management”</w:t>
            </w:r>
            <w:r w:rsidRPr="00042F40">
              <w:rPr>
                <w:rFonts w:ascii="Times New Roman" w:eastAsia="Times New Roman" w:hAnsi="Times New Roman"/>
                <w:color w:val="000000"/>
                <w:sz w:val="20"/>
                <w:szCs w:val="20"/>
              </w:rPr>
              <w:br/>
              <w:t>“Improves program service delivery and M&amp;E”</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7.5.2 Demonstrates knowledge and skills on the use of the Development Assistance Committee (DAC) principles (relevance, effectiveness, efficiency, impact, and sustainability) for program/project evaluation</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62.1</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“This can best be done by the project monitoring and evaluation experts”</w:t>
            </w:r>
            <w:r w:rsidRPr="00042F40">
              <w:rPr>
                <w:rFonts w:ascii="Times New Roman" w:eastAsia="Times New Roman" w:hAnsi="Times New Roman"/>
                <w:color w:val="000000"/>
                <w:sz w:val="20"/>
                <w:szCs w:val="20"/>
              </w:rPr>
              <w:br/>
              <w:t>“At the bachelor’s and master’s level of education, one may have these principles at hand to ensure project success”</w:t>
            </w:r>
            <w:r w:rsidRPr="00042F40">
              <w:rPr>
                <w:rFonts w:ascii="Times New Roman" w:eastAsia="Times New Roman" w:hAnsi="Times New Roman"/>
                <w:color w:val="000000"/>
                <w:sz w:val="20"/>
                <w:szCs w:val="20"/>
              </w:rPr>
              <w:br/>
              <w:t>“Never heard of DAC, thank you for informing me. M and E was an elective when I pursued my MPH. However I learnt the basics of indicators, goal setting, and M &amp; E Frame work.”</w:t>
            </w:r>
            <w:r w:rsidRPr="00042F40">
              <w:rPr>
                <w:rFonts w:ascii="Times New Roman" w:eastAsia="Times New Roman" w:hAnsi="Times New Roman"/>
                <w:color w:val="000000"/>
                <w:sz w:val="20"/>
                <w:szCs w:val="20"/>
              </w:rPr>
              <w:br/>
              <w:t xml:space="preserve">“Important for training in emergencies” </w:t>
            </w:r>
            <w:r w:rsidRPr="00042F40">
              <w:rPr>
                <w:rFonts w:ascii="Times New Roman" w:eastAsia="Times New Roman" w:hAnsi="Times New Roman"/>
                <w:color w:val="000000"/>
                <w:sz w:val="20"/>
                <w:szCs w:val="20"/>
              </w:rPr>
              <w:br/>
              <w:t>“Improves program service delivery and M&amp;E”</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E5608D" w:rsidRPr="00042F40" w:rsidTr="00E5608D">
        <w:trPr>
          <w:trHeight w:val="67"/>
        </w:trPr>
        <w:tc>
          <w:tcPr>
            <w:tcW w:w="1031"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7.5.3 Demonstrates knowledge and skills to analyse program/project monitoring and evaluation data to make relevant recommendations for improving program/project performance</w:t>
            </w:r>
          </w:p>
        </w:tc>
        <w:tc>
          <w:tcPr>
            <w:tcW w:w="649" w:type="pct"/>
            <w:tcBorders>
              <w:top w:val="single" w:sz="8" w:space="0" w:color="auto"/>
              <w:left w:val="single" w:sz="8" w:space="0" w:color="auto"/>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sz w:val="20"/>
                <w:szCs w:val="20"/>
              </w:rPr>
            </w:pPr>
            <w:r w:rsidRPr="00042F40">
              <w:rPr>
                <w:rFonts w:ascii="Times New Roman" w:eastAsia="Times New Roman" w:hAnsi="Times New Roman"/>
                <w:b/>
                <w:bCs/>
                <w:sz w:val="20"/>
                <w:szCs w:val="20"/>
              </w:rPr>
              <w:t>74.2</w:t>
            </w:r>
          </w:p>
        </w:tc>
        <w:tc>
          <w:tcPr>
            <w:tcW w:w="1708" w:type="pct"/>
            <w:tcBorders>
              <w:top w:val="nil"/>
              <w:left w:val="nil"/>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“This can </w:t>
            </w:r>
            <w:proofErr w:type="gramStart"/>
            <w:r w:rsidRPr="00042F40">
              <w:rPr>
                <w:rFonts w:ascii="Times New Roman" w:eastAsia="Times New Roman" w:hAnsi="Times New Roman"/>
                <w:color w:val="000000"/>
                <w:sz w:val="20"/>
                <w:szCs w:val="20"/>
              </w:rPr>
              <w:t>done</w:t>
            </w:r>
            <w:proofErr w:type="gramEnd"/>
            <w:r w:rsidRPr="00042F40">
              <w:rPr>
                <w:rFonts w:ascii="Times New Roman" w:eastAsia="Times New Roman" w:hAnsi="Times New Roman"/>
                <w:color w:val="000000"/>
                <w:sz w:val="20"/>
                <w:szCs w:val="20"/>
              </w:rPr>
              <w:t xml:space="preserve"> best by the project monitoring and evaluation experts”</w:t>
            </w:r>
            <w:r w:rsidRPr="00042F40">
              <w:rPr>
                <w:rFonts w:ascii="Times New Roman" w:eastAsia="Times New Roman" w:hAnsi="Times New Roman"/>
                <w:color w:val="000000"/>
                <w:sz w:val="20"/>
                <w:szCs w:val="20"/>
              </w:rPr>
              <w:br/>
              <w:t xml:space="preserve">“At the bachelor’s and master’s level one should be able to do data analysis for the project and M&amp;E to improve the project implementation” </w:t>
            </w:r>
            <w:r w:rsidRPr="00042F40">
              <w:rPr>
                <w:rFonts w:ascii="Times New Roman" w:eastAsia="Times New Roman" w:hAnsi="Times New Roman"/>
                <w:color w:val="000000"/>
                <w:sz w:val="20"/>
                <w:szCs w:val="20"/>
              </w:rPr>
              <w:br/>
              <w:t>“I am not sure whether 2 years of a Masters course can teach data analysis of all software. Perhaps the basics only.”</w:t>
            </w:r>
            <w:r w:rsidRPr="00042F40">
              <w:rPr>
                <w:rFonts w:ascii="Times New Roman" w:eastAsia="Times New Roman" w:hAnsi="Times New Roman"/>
                <w:color w:val="000000"/>
                <w:sz w:val="20"/>
                <w:szCs w:val="20"/>
              </w:rPr>
              <w:br/>
              <w:t>“Improves program service delivery and M&amp;E”</w:t>
            </w:r>
          </w:p>
        </w:tc>
        <w:tc>
          <w:tcPr>
            <w:tcW w:w="478"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683"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451" w:type="pct"/>
            <w:tcBorders>
              <w:top w:val="nil"/>
              <w:left w:val="nil"/>
              <w:bottom w:val="single" w:sz="8" w:space="0" w:color="auto"/>
              <w:right w:val="single" w:sz="8" w:space="0" w:color="auto"/>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bl>
    <w:p w:rsidR="00204F99" w:rsidRDefault="006E47DA">
      <w:pPr>
        <w:rPr>
          <w:rFonts w:ascii="Times New Roman" w:hAnsi="Times New Roman"/>
          <w:sz w:val="20"/>
          <w:szCs w:val="20"/>
        </w:rPr>
      </w:pPr>
      <w:r w:rsidRPr="00042F40">
        <w:rPr>
          <w:rFonts w:ascii="Times New Roman" w:hAnsi="Times New Roman"/>
          <w:sz w:val="20"/>
          <w:szCs w:val="20"/>
        </w:rPr>
        <w:t xml:space="preserve">*Represent </w:t>
      </w:r>
      <w:r w:rsidR="00C67E74">
        <w:rPr>
          <w:rFonts w:ascii="Times New Roman" w:hAnsi="Times New Roman"/>
          <w:sz w:val="20"/>
          <w:szCs w:val="20"/>
        </w:rPr>
        <w:t>competency statements</w:t>
      </w:r>
      <w:r w:rsidRPr="00042F40">
        <w:rPr>
          <w:rFonts w:ascii="Times New Roman" w:hAnsi="Times New Roman"/>
          <w:sz w:val="20"/>
          <w:szCs w:val="20"/>
        </w:rPr>
        <w:t xml:space="preserve"> removed from final analysis</w:t>
      </w:r>
    </w:p>
    <w:p w:rsidR="006E47DA" w:rsidRPr="004B5685" w:rsidRDefault="006E47DA" w:rsidP="00EE7022">
      <w:pPr>
        <w:pStyle w:val="Heading1"/>
        <w:spacing w:line="240" w:lineRule="exact"/>
        <w:jc w:val="center"/>
        <w:rPr>
          <w:sz w:val="24"/>
          <w:szCs w:val="24"/>
        </w:rPr>
      </w:pPr>
      <w:bookmarkStart w:id="0" w:name="_GoBack"/>
      <w:bookmarkEnd w:id="0"/>
    </w:p>
    <w:sectPr w:rsidR="006E47DA" w:rsidRPr="004B5685" w:rsidSect="00EE7022">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5C6B" w:rsidRDefault="003F5C6B" w:rsidP="003F357D">
      <w:pPr>
        <w:spacing w:after="0" w:line="240" w:lineRule="auto"/>
      </w:pPr>
      <w:r>
        <w:separator/>
      </w:r>
    </w:p>
  </w:endnote>
  <w:endnote w:type="continuationSeparator" w:id="0">
    <w:p w:rsidR="003F5C6B" w:rsidRDefault="003F5C6B" w:rsidP="003F3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0408537"/>
      <w:docPartObj>
        <w:docPartGallery w:val="Page Numbers (Bottom of Page)"/>
        <w:docPartUnique/>
      </w:docPartObj>
    </w:sdtPr>
    <w:sdtContent>
      <w:sdt>
        <w:sdtPr>
          <w:id w:val="-1669238322"/>
          <w:docPartObj>
            <w:docPartGallery w:val="Page Numbers (Top of Page)"/>
            <w:docPartUnique/>
          </w:docPartObj>
        </w:sdtPr>
        <w:sdtContent>
          <w:p w:rsidR="003F357D" w:rsidRDefault="003F357D">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EE7022">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E7022">
              <w:rPr>
                <w:b/>
                <w:bCs/>
                <w:noProof/>
              </w:rPr>
              <w:t>8</w:t>
            </w:r>
            <w:r>
              <w:rPr>
                <w:b/>
                <w:bCs/>
                <w:sz w:val="24"/>
                <w:szCs w:val="24"/>
              </w:rPr>
              <w:fldChar w:fldCharType="end"/>
            </w:r>
          </w:p>
        </w:sdtContent>
      </w:sdt>
    </w:sdtContent>
  </w:sdt>
  <w:p w:rsidR="003F357D" w:rsidRDefault="003F35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5C6B" w:rsidRDefault="003F5C6B" w:rsidP="003F357D">
      <w:pPr>
        <w:spacing w:after="0" w:line="240" w:lineRule="auto"/>
      </w:pPr>
      <w:r>
        <w:separator/>
      </w:r>
    </w:p>
  </w:footnote>
  <w:footnote w:type="continuationSeparator" w:id="0">
    <w:p w:rsidR="003F5C6B" w:rsidRDefault="003F5C6B" w:rsidP="003F35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50508"/>
    <w:multiLevelType w:val="hybridMultilevel"/>
    <w:tmpl w:val="505649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23A186B"/>
    <w:multiLevelType w:val="hybridMultilevel"/>
    <w:tmpl w:val="0DE21532"/>
    <w:lvl w:ilvl="0" w:tplc="A3DA7B1E">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55B087D"/>
    <w:multiLevelType w:val="hybridMultilevel"/>
    <w:tmpl w:val="B3FC3892"/>
    <w:lvl w:ilvl="0" w:tplc="A3DA7B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89950F2"/>
    <w:multiLevelType w:val="hybridMultilevel"/>
    <w:tmpl w:val="27763906"/>
    <w:lvl w:ilvl="0" w:tplc="090E9D2C">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7DA"/>
    <w:rsid w:val="001D5D8E"/>
    <w:rsid w:val="00204F99"/>
    <w:rsid w:val="00220CD7"/>
    <w:rsid w:val="002A7F2D"/>
    <w:rsid w:val="003F357D"/>
    <w:rsid w:val="003F5C6B"/>
    <w:rsid w:val="00413549"/>
    <w:rsid w:val="004505D7"/>
    <w:rsid w:val="004B5685"/>
    <w:rsid w:val="00512149"/>
    <w:rsid w:val="0055730E"/>
    <w:rsid w:val="00577E8D"/>
    <w:rsid w:val="005879B5"/>
    <w:rsid w:val="005B74AF"/>
    <w:rsid w:val="006B6B8C"/>
    <w:rsid w:val="006E47DA"/>
    <w:rsid w:val="006F010D"/>
    <w:rsid w:val="00731530"/>
    <w:rsid w:val="00A13200"/>
    <w:rsid w:val="00C074BA"/>
    <w:rsid w:val="00C67E74"/>
    <w:rsid w:val="00D5526B"/>
    <w:rsid w:val="00E5608D"/>
    <w:rsid w:val="00EE7022"/>
    <w:rsid w:val="00F915F8"/>
    <w:rsid w:val="00FE2A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7DA"/>
    <w:pPr>
      <w:spacing w:after="160" w:line="259"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6E47DA"/>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7DA"/>
    <w:rPr>
      <w:rFonts w:ascii="Calibri Light" w:eastAsia="Times New Roman" w:hAnsi="Calibri Light" w:cs="Times New Roman"/>
      <w:color w:val="2E74B5"/>
      <w:sz w:val="32"/>
      <w:szCs w:val="32"/>
      <w:lang w:val="en-GB"/>
    </w:rPr>
  </w:style>
  <w:style w:type="paragraph" w:styleId="ListParagraph">
    <w:name w:val="List Paragraph"/>
    <w:basedOn w:val="Normal"/>
    <w:uiPriority w:val="34"/>
    <w:qFormat/>
    <w:rsid w:val="006E47DA"/>
    <w:pPr>
      <w:ind w:left="720"/>
      <w:contextualSpacing/>
    </w:pPr>
  </w:style>
  <w:style w:type="character" w:styleId="Hyperlink">
    <w:name w:val="Hyperlink"/>
    <w:uiPriority w:val="99"/>
    <w:unhideWhenUsed/>
    <w:rsid w:val="006E47DA"/>
    <w:rPr>
      <w:color w:val="0563C1"/>
      <w:u w:val="single"/>
    </w:rPr>
  </w:style>
  <w:style w:type="paragraph" w:styleId="Header">
    <w:name w:val="header"/>
    <w:basedOn w:val="Normal"/>
    <w:link w:val="HeaderChar"/>
    <w:uiPriority w:val="99"/>
    <w:unhideWhenUsed/>
    <w:rsid w:val="003F35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357D"/>
    <w:rPr>
      <w:rFonts w:ascii="Calibri" w:eastAsia="Calibri" w:hAnsi="Calibri" w:cs="Times New Roman"/>
      <w:lang w:val="en-GB"/>
    </w:rPr>
  </w:style>
  <w:style w:type="paragraph" w:styleId="Footer">
    <w:name w:val="footer"/>
    <w:basedOn w:val="Normal"/>
    <w:link w:val="FooterChar"/>
    <w:uiPriority w:val="99"/>
    <w:unhideWhenUsed/>
    <w:rsid w:val="003F35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357D"/>
    <w:rPr>
      <w:rFonts w:ascii="Calibri" w:eastAsia="Calibri" w:hAnsi="Calibri" w:cs="Times New Roman"/>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7DA"/>
    <w:pPr>
      <w:spacing w:after="160" w:line="259"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6E47DA"/>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7DA"/>
    <w:rPr>
      <w:rFonts w:ascii="Calibri Light" w:eastAsia="Times New Roman" w:hAnsi="Calibri Light" w:cs="Times New Roman"/>
      <w:color w:val="2E74B5"/>
      <w:sz w:val="32"/>
      <w:szCs w:val="32"/>
      <w:lang w:val="en-GB"/>
    </w:rPr>
  </w:style>
  <w:style w:type="paragraph" w:styleId="ListParagraph">
    <w:name w:val="List Paragraph"/>
    <w:basedOn w:val="Normal"/>
    <w:uiPriority w:val="34"/>
    <w:qFormat/>
    <w:rsid w:val="006E47DA"/>
    <w:pPr>
      <w:ind w:left="720"/>
      <w:contextualSpacing/>
    </w:pPr>
  </w:style>
  <w:style w:type="character" w:styleId="Hyperlink">
    <w:name w:val="Hyperlink"/>
    <w:uiPriority w:val="99"/>
    <w:unhideWhenUsed/>
    <w:rsid w:val="006E47DA"/>
    <w:rPr>
      <w:color w:val="0563C1"/>
      <w:u w:val="single"/>
    </w:rPr>
  </w:style>
  <w:style w:type="paragraph" w:styleId="Header">
    <w:name w:val="header"/>
    <w:basedOn w:val="Normal"/>
    <w:link w:val="HeaderChar"/>
    <w:uiPriority w:val="99"/>
    <w:unhideWhenUsed/>
    <w:rsid w:val="003F35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357D"/>
    <w:rPr>
      <w:rFonts w:ascii="Calibri" w:eastAsia="Calibri" w:hAnsi="Calibri" w:cs="Times New Roman"/>
      <w:lang w:val="en-GB"/>
    </w:rPr>
  </w:style>
  <w:style w:type="paragraph" w:styleId="Footer">
    <w:name w:val="footer"/>
    <w:basedOn w:val="Normal"/>
    <w:link w:val="FooterChar"/>
    <w:uiPriority w:val="99"/>
    <w:unhideWhenUsed/>
    <w:rsid w:val="003F35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357D"/>
    <w:rPr>
      <w:rFonts w:ascii="Calibri" w:eastAsia="Calibri" w:hAnsi="Calibri"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katspk200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80F769-4A7B-4CD6-B477-0FD461C12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2329</Words>
  <Characters>13278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Peterson</dc:creator>
  <cp:lastModifiedBy>Peterson</cp:lastModifiedBy>
  <cp:revision>5</cp:revision>
  <dcterms:created xsi:type="dcterms:W3CDTF">2021-12-01T09:09:00Z</dcterms:created>
  <dcterms:modified xsi:type="dcterms:W3CDTF">2021-12-01T09:13:00Z</dcterms:modified>
</cp:coreProperties>
</file>