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26B" w:rsidRDefault="00D5526B" w:rsidP="00E5608D">
      <w:pPr>
        <w:pStyle w:val="Heading1"/>
        <w:spacing w:line="240" w:lineRule="exact"/>
        <w:jc w:val="center"/>
        <w:rPr>
          <w:rFonts w:ascii="Times New Roman" w:hAnsi="Times New Roman"/>
          <w:b/>
          <w:color w:val="auto"/>
          <w:sz w:val="24"/>
          <w:szCs w:val="24"/>
        </w:rPr>
      </w:pPr>
      <w:bookmarkStart w:id="0" w:name="_Toc81382187"/>
      <w:r>
        <w:rPr>
          <w:rFonts w:ascii="Times New Roman" w:hAnsi="Times New Roman"/>
          <w:b/>
          <w:color w:val="auto"/>
          <w:sz w:val="24"/>
          <w:szCs w:val="24"/>
        </w:rPr>
        <w:t>Supplementary File-2</w:t>
      </w:r>
      <w:r w:rsidRPr="00042F40">
        <w:rPr>
          <w:rFonts w:ascii="Times New Roman" w:hAnsi="Times New Roman"/>
          <w:b/>
          <w:color w:val="auto"/>
          <w:sz w:val="24"/>
          <w:szCs w:val="24"/>
        </w:rPr>
        <w:t xml:space="preserve">: </w:t>
      </w:r>
      <w:r>
        <w:rPr>
          <w:rFonts w:ascii="Times New Roman" w:hAnsi="Times New Roman"/>
          <w:b/>
          <w:color w:val="auto"/>
          <w:sz w:val="24"/>
          <w:szCs w:val="24"/>
        </w:rPr>
        <w:t xml:space="preserve">Study Instrument for the First Modified </w:t>
      </w:r>
      <w:r w:rsidRPr="00042F40">
        <w:rPr>
          <w:rFonts w:ascii="Times New Roman" w:hAnsi="Times New Roman"/>
          <w:b/>
          <w:color w:val="auto"/>
          <w:sz w:val="24"/>
          <w:szCs w:val="24"/>
        </w:rPr>
        <w:t>Delphi Round</w:t>
      </w:r>
    </w:p>
    <w:p w:rsidR="00F915F8" w:rsidRPr="00F915F8" w:rsidRDefault="00F915F8" w:rsidP="00E5608D">
      <w:pPr>
        <w:spacing w:before="240" w:line="240" w:lineRule="exact"/>
        <w:jc w:val="center"/>
        <w:rPr>
          <w:rFonts w:ascii="Times New Roman" w:hAnsi="Times New Roman"/>
          <w:b/>
          <w:sz w:val="24"/>
          <w:szCs w:val="24"/>
        </w:rPr>
      </w:pPr>
      <w:r w:rsidRPr="00F915F8">
        <w:rPr>
          <w:rFonts w:ascii="Times New Roman" w:hAnsi="Times New Roman"/>
          <w:b/>
          <w:sz w:val="24"/>
          <w:szCs w:val="24"/>
        </w:rPr>
        <w:t>Development and Validation of a Competency-Based Education Model for Strengthening Undergraduate Training of Human Nutrition and Dietetics in Uganda</w:t>
      </w:r>
    </w:p>
    <w:bookmarkEnd w:id="0"/>
    <w:p w:rsidR="00F915F8" w:rsidRPr="00FB66F7" w:rsidRDefault="00F915F8" w:rsidP="00E5608D">
      <w:pPr>
        <w:shd w:val="clear" w:color="auto" w:fill="FFFFFF"/>
        <w:spacing w:after="0" w:line="240" w:lineRule="exact"/>
        <w:jc w:val="both"/>
        <w:rPr>
          <w:rFonts w:cs="Arial"/>
          <w:color w:val="000000"/>
        </w:rPr>
      </w:pPr>
      <w:r w:rsidRPr="00FB66F7">
        <w:rPr>
          <w:rFonts w:ascii="Times New Roman" w:hAnsi="Times New Roman"/>
          <w:b/>
          <w:bCs/>
          <w:color w:val="000000"/>
          <w:sz w:val="24"/>
          <w:szCs w:val="24"/>
        </w:rPr>
        <w:t xml:space="preserve">Instructions for the First </w:t>
      </w:r>
      <w:r w:rsidR="00D5526B">
        <w:rPr>
          <w:rFonts w:ascii="Times New Roman" w:hAnsi="Times New Roman"/>
          <w:b/>
          <w:bCs/>
          <w:color w:val="000000"/>
          <w:sz w:val="24"/>
          <w:szCs w:val="24"/>
        </w:rPr>
        <w:t xml:space="preserve">Modified </w:t>
      </w:r>
      <w:r w:rsidRPr="00FB66F7">
        <w:rPr>
          <w:rFonts w:ascii="Times New Roman" w:hAnsi="Times New Roman"/>
          <w:b/>
          <w:bCs/>
          <w:color w:val="000000"/>
          <w:sz w:val="24"/>
          <w:szCs w:val="24"/>
        </w:rPr>
        <w:t>Delphi Round of Consultation</w:t>
      </w:r>
    </w:p>
    <w:p w:rsidR="00F915F8" w:rsidRPr="00FB66F7" w:rsidRDefault="00F915F8" w:rsidP="00E5608D">
      <w:pPr>
        <w:shd w:val="clear" w:color="auto" w:fill="FFFFFF"/>
        <w:spacing w:after="0" w:line="240" w:lineRule="exact"/>
        <w:ind w:left="720"/>
        <w:jc w:val="both"/>
        <w:rPr>
          <w:rFonts w:cs="Arial"/>
          <w:color w:val="000000"/>
        </w:rPr>
      </w:pPr>
      <w:r w:rsidRPr="00FB66F7">
        <w:rPr>
          <w:rFonts w:ascii="Times New Roman" w:hAnsi="Times New Roman"/>
          <w:color w:val="000000"/>
          <w:sz w:val="24"/>
          <w:szCs w:val="24"/>
        </w:rPr>
        <w:t>1.</w:t>
      </w:r>
      <w:r w:rsidRPr="00FB66F7">
        <w:rPr>
          <w:rFonts w:ascii="Times New Roman" w:hAnsi="Times New Roman"/>
          <w:color w:val="000000"/>
          <w:sz w:val="14"/>
          <w:szCs w:val="14"/>
        </w:rPr>
        <w:t>   </w:t>
      </w:r>
      <w:r w:rsidRPr="00FB66F7">
        <w:rPr>
          <w:rFonts w:ascii="Times New Roman" w:hAnsi="Times New Roman"/>
          <w:color w:val="000000"/>
          <w:sz w:val="24"/>
          <w:szCs w:val="24"/>
        </w:rPr>
        <w:t>Download, open, and save the draft CBE Framework on your computer (this has been shared in an Excel format)</w:t>
      </w:r>
    </w:p>
    <w:p w:rsidR="00F915F8" w:rsidRPr="00FB66F7" w:rsidRDefault="00F915F8" w:rsidP="00E5608D">
      <w:pPr>
        <w:shd w:val="clear" w:color="auto" w:fill="FFFFFF"/>
        <w:spacing w:after="0" w:line="240" w:lineRule="exact"/>
        <w:ind w:left="720"/>
        <w:jc w:val="both"/>
        <w:rPr>
          <w:rFonts w:cs="Arial"/>
          <w:color w:val="000000"/>
        </w:rPr>
      </w:pPr>
      <w:r w:rsidRPr="00FB66F7">
        <w:rPr>
          <w:rFonts w:ascii="Times New Roman" w:hAnsi="Times New Roman"/>
          <w:color w:val="000000"/>
          <w:sz w:val="24"/>
          <w:szCs w:val="24"/>
        </w:rPr>
        <w:t>2.</w:t>
      </w:r>
      <w:r w:rsidRPr="00FB66F7">
        <w:rPr>
          <w:rFonts w:ascii="Times New Roman" w:hAnsi="Times New Roman"/>
          <w:color w:val="000000"/>
          <w:sz w:val="14"/>
          <w:szCs w:val="14"/>
        </w:rPr>
        <w:t>     </w:t>
      </w:r>
      <w:r w:rsidRPr="00FB66F7">
        <w:rPr>
          <w:rFonts w:ascii="Times New Roman" w:hAnsi="Times New Roman"/>
          <w:color w:val="000000"/>
          <w:sz w:val="24"/>
          <w:szCs w:val="24"/>
        </w:rPr>
        <w:t xml:space="preserve">Review statement by statement in </w:t>
      </w:r>
      <w:r w:rsidR="000712A0">
        <w:rPr>
          <w:rFonts w:ascii="Times New Roman" w:hAnsi="Times New Roman"/>
          <w:color w:val="000000"/>
          <w:sz w:val="24"/>
          <w:szCs w:val="24"/>
        </w:rPr>
        <w:t>the first c</w:t>
      </w:r>
      <w:r w:rsidRPr="00FB66F7">
        <w:rPr>
          <w:rFonts w:ascii="Times New Roman" w:hAnsi="Times New Roman"/>
          <w:color w:val="000000"/>
          <w:sz w:val="24"/>
          <w:szCs w:val="24"/>
        </w:rPr>
        <w:t xml:space="preserve">olumn </w:t>
      </w:r>
    </w:p>
    <w:p w:rsidR="00F915F8" w:rsidRPr="00FB66F7" w:rsidRDefault="00F915F8" w:rsidP="00E5608D">
      <w:pPr>
        <w:shd w:val="clear" w:color="auto" w:fill="FFFFFF"/>
        <w:spacing w:after="0" w:line="240" w:lineRule="exact"/>
        <w:ind w:left="720"/>
        <w:jc w:val="both"/>
        <w:rPr>
          <w:rFonts w:cs="Arial"/>
          <w:color w:val="000000"/>
        </w:rPr>
      </w:pPr>
      <w:r w:rsidRPr="00FB66F7">
        <w:rPr>
          <w:rFonts w:ascii="Times New Roman" w:hAnsi="Times New Roman"/>
          <w:color w:val="000000"/>
          <w:sz w:val="24"/>
          <w:szCs w:val="24"/>
        </w:rPr>
        <w:t>3.</w:t>
      </w:r>
      <w:r w:rsidRPr="00FB66F7">
        <w:rPr>
          <w:rFonts w:ascii="Times New Roman" w:hAnsi="Times New Roman"/>
          <w:color w:val="000000"/>
          <w:sz w:val="14"/>
          <w:szCs w:val="14"/>
        </w:rPr>
        <w:t> </w:t>
      </w:r>
      <w:r w:rsidRPr="00FB66F7">
        <w:rPr>
          <w:rFonts w:ascii="Times New Roman" w:hAnsi="Times New Roman"/>
          <w:color w:val="000000"/>
          <w:sz w:val="24"/>
          <w:szCs w:val="24"/>
        </w:rPr>
        <w:t xml:space="preserve">For each of the statements (Domain, sub-domain, and competency statement), indicate your opinion of its general relevance to the practice of Human Nutrition/Human Nutrition and Dietetics by selecting from a range of five options (Strongly Disagree; Disagree; Neither Disagree or Agree; Agree, and Strongly Agree) in </w:t>
      </w:r>
      <w:r w:rsidR="000712A0">
        <w:rPr>
          <w:rFonts w:ascii="Times New Roman" w:hAnsi="Times New Roman"/>
          <w:color w:val="000000"/>
          <w:sz w:val="24"/>
          <w:szCs w:val="24"/>
        </w:rPr>
        <w:t>the second c</w:t>
      </w:r>
      <w:r w:rsidRPr="00FB66F7">
        <w:rPr>
          <w:rFonts w:ascii="Times New Roman" w:hAnsi="Times New Roman"/>
          <w:color w:val="000000"/>
          <w:sz w:val="24"/>
          <w:szCs w:val="24"/>
        </w:rPr>
        <w:t>olumn</w:t>
      </w:r>
    </w:p>
    <w:p w:rsidR="00F915F8" w:rsidRPr="00FB66F7" w:rsidRDefault="00F915F8" w:rsidP="00E5608D">
      <w:pPr>
        <w:shd w:val="clear" w:color="auto" w:fill="FFFFFF"/>
        <w:spacing w:after="0" w:line="240" w:lineRule="exact"/>
        <w:ind w:left="720"/>
        <w:jc w:val="both"/>
        <w:rPr>
          <w:rFonts w:cs="Arial"/>
          <w:color w:val="000000"/>
        </w:rPr>
      </w:pPr>
      <w:r w:rsidRPr="00FB66F7">
        <w:rPr>
          <w:rFonts w:ascii="Times New Roman" w:hAnsi="Times New Roman"/>
          <w:color w:val="000000"/>
          <w:sz w:val="24"/>
          <w:szCs w:val="24"/>
        </w:rPr>
        <w:t>4.</w:t>
      </w:r>
      <w:r w:rsidRPr="00FB66F7">
        <w:rPr>
          <w:rFonts w:ascii="Times New Roman" w:hAnsi="Times New Roman"/>
          <w:color w:val="000000"/>
          <w:sz w:val="14"/>
          <w:szCs w:val="14"/>
        </w:rPr>
        <w:t>    </w:t>
      </w:r>
      <w:r w:rsidRPr="00FB66F7">
        <w:rPr>
          <w:rFonts w:ascii="Times New Roman" w:hAnsi="Times New Roman"/>
          <w:color w:val="000000"/>
          <w:sz w:val="24"/>
          <w:szCs w:val="24"/>
        </w:rPr>
        <w:t xml:space="preserve">For each of the statements, indicate the level of training for which you suggest the given competency to be mastered in </w:t>
      </w:r>
      <w:r w:rsidR="000712A0">
        <w:rPr>
          <w:rFonts w:ascii="Times New Roman" w:hAnsi="Times New Roman"/>
          <w:color w:val="000000"/>
          <w:sz w:val="24"/>
          <w:szCs w:val="24"/>
        </w:rPr>
        <w:t xml:space="preserve">the third column </w:t>
      </w:r>
    </w:p>
    <w:p w:rsidR="00F915F8" w:rsidRPr="00FB66F7" w:rsidRDefault="00F915F8" w:rsidP="00E5608D">
      <w:pPr>
        <w:shd w:val="clear" w:color="auto" w:fill="FFFFFF"/>
        <w:spacing w:after="0" w:line="240" w:lineRule="exact"/>
        <w:ind w:left="720"/>
        <w:jc w:val="both"/>
        <w:rPr>
          <w:rFonts w:cs="Arial"/>
          <w:color w:val="000000"/>
        </w:rPr>
      </w:pPr>
      <w:r w:rsidRPr="00FB66F7">
        <w:rPr>
          <w:rFonts w:ascii="Times New Roman" w:hAnsi="Times New Roman"/>
          <w:color w:val="000000"/>
          <w:sz w:val="24"/>
          <w:szCs w:val="24"/>
        </w:rPr>
        <w:t>5.</w:t>
      </w:r>
      <w:r w:rsidRPr="00FB66F7">
        <w:rPr>
          <w:rFonts w:ascii="Times New Roman" w:hAnsi="Times New Roman"/>
          <w:color w:val="000000"/>
          <w:sz w:val="14"/>
          <w:szCs w:val="14"/>
        </w:rPr>
        <w:t>    </w:t>
      </w:r>
      <w:r w:rsidRPr="00FB66F7">
        <w:rPr>
          <w:rFonts w:ascii="Times New Roman" w:hAnsi="Times New Roman"/>
          <w:color w:val="000000"/>
          <w:sz w:val="24"/>
          <w:szCs w:val="24"/>
        </w:rPr>
        <w:t xml:space="preserve">Indicate your justification/comment for the response given in </w:t>
      </w:r>
      <w:r w:rsidR="000712A0">
        <w:rPr>
          <w:rFonts w:ascii="Times New Roman" w:hAnsi="Times New Roman"/>
          <w:color w:val="000000"/>
          <w:sz w:val="24"/>
          <w:szCs w:val="24"/>
        </w:rPr>
        <w:t>the fourth c</w:t>
      </w:r>
      <w:r w:rsidRPr="00FB66F7">
        <w:rPr>
          <w:rFonts w:ascii="Times New Roman" w:hAnsi="Times New Roman"/>
          <w:color w:val="000000"/>
          <w:sz w:val="24"/>
          <w:szCs w:val="24"/>
        </w:rPr>
        <w:t>olumn. Use this comment box to further voice your opinion that will help us modify/refine the statement.</w:t>
      </w:r>
    </w:p>
    <w:p w:rsidR="00512149" w:rsidRDefault="00F915F8" w:rsidP="00E5608D">
      <w:pPr>
        <w:shd w:val="clear" w:color="auto" w:fill="FFFFFF"/>
        <w:spacing w:after="200" w:line="240" w:lineRule="exact"/>
        <w:ind w:left="720"/>
        <w:jc w:val="both"/>
        <w:rPr>
          <w:rFonts w:ascii="Times New Roman" w:hAnsi="Times New Roman"/>
          <w:color w:val="000000"/>
          <w:sz w:val="24"/>
          <w:szCs w:val="24"/>
        </w:rPr>
      </w:pPr>
      <w:r w:rsidRPr="00FB66F7">
        <w:rPr>
          <w:rFonts w:ascii="Times New Roman" w:hAnsi="Times New Roman"/>
          <w:color w:val="000000"/>
          <w:sz w:val="24"/>
          <w:szCs w:val="24"/>
        </w:rPr>
        <w:t>6.</w:t>
      </w:r>
      <w:r w:rsidRPr="00FB66F7">
        <w:rPr>
          <w:rFonts w:ascii="Times New Roman" w:hAnsi="Times New Roman"/>
          <w:color w:val="000000"/>
          <w:sz w:val="14"/>
          <w:szCs w:val="14"/>
        </w:rPr>
        <w:t>      </w:t>
      </w:r>
      <w:r w:rsidRPr="00FB66F7">
        <w:rPr>
          <w:rFonts w:ascii="Times New Roman" w:hAnsi="Times New Roman"/>
          <w:color w:val="000000"/>
          <w:sz w:val="24"/>
          <w:szCs w:val="24"/>
        </w:rPr>
        <w:t>Send back your response on email</w:t>
      </w:r>
      <w:bookmarkStart w:id="1" w:name="_GoBack"/>
      <w:bookmarkEnd w:id="1"/>
      <w:r>
        <w:rPr>
          <w:rFonts w:ascii="Times New Roman" w:hAnsi="Times New Roman"/>
          <w:color w:val="000000"/>
          <w:sz w:val="24"/>
          <w:szCs w:val="24"/>
        </w:rPr>
        <w:t xml:space="preserve"> </w:t>
      </w:r>
      <w:hyperlink r:id="rId9" w:tgtFrame="_blank" w:history="1">
        <w:r w:rsidRPr="00FB66F7">
          <w:rPr>
            <w:rFonts w:ascii="Times New Roman" w:hAnsi="Times New Roman"/>
            <w:color w:val="0000FF"/>
            <w:sz w:val="24"/>
            <w:szCs w:val="24"/>
            <w:u w:val="single"/>
          </w:rPr>
          <w:t>katspk2003@gmail.com</w:t>
        </w:r>
      </w:hyperlink>
      <w:r w:rsidRPr="00FB66F7">
        <w:rPr>
          <w:rFonts w:ascii="Times New Roman" w:hAnsi="Times New Roman"/>
          <w:color w:val="000000"/>
          <w:sz w:val="24"/>
          <w:szCs w:val="24"/>
        </w:rPr>
        <w:t>. Should you also seek further clarification, please reach me on the above email or mobile number +256 752 425 296.</w:t>
      </w:r>
      <w:r w:rsidR="00512149">
        <w:rPr>
          <w:rFonts w:ascii="Times New Roman" w:hAnsi="Times New Roman"/>
          <w:color w:val="000000"/>
          <w:sz w:val="24"/>
          <w:szCs w:val="24"/>
        </w:rPr>
        <w:br w:type="page"/>
      </w:r>
    </w:p>
    <w:tbl>
      <w:tblPr>
        <w:tblW w:w="5000" w:type="pct"/>
        <w:tblLayout w:type="fixed"/>
        <w:tblLook w:val="04A0" w:firstRow="1" w:lastRow="0" w:firstColumn="1" w:lastColumn="0" w:noHBand="0" w:noVBand="1"/>
      </w:tblPr>
      <w:tblGrid>
        <w:gridCol w:w="7218"/>
        <w:gridCol w:w="2161"/>
        <w:gridCol w:w="2340"/>
        <w:gridCol w:w="1457"/>
      </w:tblGrid>
      <w:tr w:rsidR="006E47DA" w:rsidRPr="00042F40" w:rsidTr="00BA699D">
        <w:trPr>
          <w:trHeight w:val="340"/>
        </w:trPr>
        <w:tc>
          <w:tcPr>
            <w:tcW w:w="5000" w:type="pct"/>
            <w:gridSpan w:val="4"/>
            <w:tcBorders>
              <w:top w:val="single" w:sz="8" w:space="0" w:color="auto"/>
              <w:left w:val="single" w:sz="8" w:space="0" w:color="auto"/>
              <w:bottom w:val="single" w:sz="8" w:space="0" w:color="auto"/>
              <w:right w:val="single" w:sz="8" w:space="0" w:color="auto"/>
            </w:tcBorders>
            <w:shd w:val="clear" w:color="auto" w:fill="auto"/>
          </w:tcPr>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lastRenderedPageBreak/>
              <w:t>Tool for First Delphi: Draft Human Nutrition/Human Nutrition and Dietetics Competency-Based Education Model Framework</w:t>
            </w:r>
          </w:p>
        </w:tc>
      </w:tr>
      <w:tr w:rsidR="006E47DA" w:rsidRPr="00042F40" w:rsidTr="00BA699D">
        <w:trPr>
          <w:trHeight w:val="250"/>
        </w:trPr>
        <w:tc>
          <w:tcPr>
            <w:tcW w:w="2739" w:type="pct"/>
            <w:tcBorders>
              <w:top w:val="single" w:sz="8" w:space="0" w:color="auto"/>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Competency domains, sub-domains and competencies (knowledge and skills) required for the practice of Human Nutrition/Human Nutrition and Dietetics in Uganda</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 xml:space="preserve">Level of Agreement </w:t>
            </w:r>
          </w:p>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(Select one)</w:t>
            </w:r>
          </w:p>
          <w:p w:rsidR="006E47DA" w:rsidRPr="00042F40" w:rsidRDefault="006E47DA" w:rsidP="006E47DA">
            <w:pPr>
              <w:pStyle w:val="ListParagraph"/>
              <w:numPr>
                <w:ilvl w:val="0"/>
                <w:numId w:val="2"/>
              </w:num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Strongly Agree</w:t>
            </w:r>
          </w:p>
          <w:p w:rsidR="006E47DA" w:rsidRPr="00042F40" w:rsidRDefault="006E47DA" w:rsidP="006E47DA">
            <w:pPr>
              <w:pStyle w:val="ListParagraph"/>
              <w:numPr>
                <w:ilvl w:val="0"/>
                <w:numId w:val="2"/>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Agree</w:t>
            </w:r>
          </w:p>
          <w:p w:rsidR="006E47DA" w:rsidRPr="00042F40" w:rsidRDefault="006E47DA" w:rsidP="006E47DA">
            <w:pPr>
              <w:pStyle w:val="ListParagraph"/>
              <w:numPr>
                <w:ilvl w:val="0"/>
                <w:numId w:val="2"/>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Neither Agree Nor Disagree</w:t>
            </w:r>
          </w:p>
          <w:p w:rsidR="006E47DA" w:rsidRPr="00042F40" w:rsidRDefault="006E47DA" w:rsidP="006E47DA">
            <w:pPr>
              <w:pStyle w:val="ListParagraph"/>
              <w:numPr>
                <w:ilvl w:val="0"/>
                <w:numId w:val="2"/>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Disagree</w:t>
            </w:r>
          </w:p>
          <w:p w:rsidR="006E47DA" w:rsidRPr="00042F40" w:rsidRDefault="006E47DA" w:rsidP="006E47DA">
            <w:pPr>
              <w:pStyle w:val="ListParagraph"/>
              <w:numPr>
                <w:ilvl w:val="0"/>
                <w:numId w:val="2"/>
              </w:num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Strongly Disagree</w:t>
            </w: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 xml:space="preserve">Academic Level </w:t>
            </w:r>
          </w:p>
          <w:p w:rsidR="006E47DA" w:rsidRPr="00042F40" w:rsidRDefault="006E47DA" w:rsidP="00BA699D">
            <w:pPr>
              <w:spacing w:after="0" w:line="240" w:lineRule="exact"/>
              <w:jc w:val="center"/>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(Select one)</w:t>
            </w:r>
          </w:p>
          <w:p w:rsidR="006E47DA" w:rsidRPr="00042F40" w:rsidRDefault="006E47DA" w:rsidP="006E47DA">
            <w:pPr>
              <w:pStyle w:val="ListParagraph"/>
              <w:numPr>
                <w:ilvl w:val="0"/>
                <w:numId w:val="1"/>
              </w:num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All Levels</w:t>
            </w:r>
          </w:p>
          <w:p w:rsidR="006E47DA" w:rsidRPr="00042F40" w:rsidRDefault="006E47DA" w:rsidP="006E47DA">
            <w:pPr>
              <w:pStyle w:val="ListParagraph"/>
              <w:numPr>
                <w:ilvl w:val="0"/>
                <w:numId w:val="1"/>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Diploma Only</w:t>
            </w:r>
          </w:p>
          <w:p w:rsidR="006E47DA" w:rsidRPr="00042F40" w:rsidRDefault="006E47DA" w:rsidP="006E47DA">
            <w:pPr>
              <w:pStyle w:val="ListParagraph"/>
              <w:numPr>
                <w:ilvl w:val="0"/>
                <w:numId w:val="1"/>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Diploma &amp; Bachelors</w:t>
            </w:r>
          </w:p>
          <w:p w:rsidR="006E47DA" w:rsidRPr="00042F40" w:rsidRDefault="006E47DA" w:rsidP="006E47DA">
            <w:pPr>
              <w:pStyle w:val="ListParagraph"/>
              <w:numPr>
                <w:ilvl w:val="0"/>
                <w:numId w:val="1"/>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Bachelors Only</w:t>
            </w:r>
          </w:p>
          <w:p w:rsidR="006E47DA" w:rsidRPr="00042F40" w:rsidRDefault="006E47DA" w:rsidP="006E47DA">
            <w:pPr>
              <w:pStyle w:val="ListParagraph"/>
              <w:numPr>
                <w:ilvl w:val="0"/>
                <w:numId w:val="1"/>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Bachelors &amp; Masters</w:t>
            </w:r>
          </w:p>
          <w:p w:rsidR="006E47DA" w:rsidRPr="00042F40" w:rsidRDefault="006E47DA" w:rsidP="006E47DA">
            <w:pPr>
              <w:pStyle w:val="ListParagraph"/>
              <w:numPr>
                <w:ilvl w:val="0"/>
                <w:numId w:val="1"/>
              </w:num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color w:val="000000"/>
                <w:sz w:val="20"/>
                <w:szCs w:val="20"/>
              </w:rPr>
              <w:t>Masters only</w:t>
            </w: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r w:rsidRPr="00042F40">
              <w:rPr>
                <w:rFonts w:ascii="Times New Roman" w:eastAsia="Times New Roman" w:hAnsi="Times New Roman"/>
                <w:b/>
                <w:bCs/>
                <w:color w:val="000000"/>
                <w:sz w:val="20"/>
                <w:szCs w:val="20"/>
              </w:rPr>
              <w:t>Provide Justification for Response</w:t>
            </w:r>
          </w:p>
        </w:tc>
      </w:tr>
      <w:tr w:rsidR="006E47DA" w:rsidRPr="00042F40" w:rsidTr="00BA699D">
        <w:trPr>
          <w:trHeight w:val="18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Domain 1: Prevention and management of malnutrition in all its forms: Demonstrates knowledge and skills to prevent and manage undernutrition (wasting, stunting, underweight), vitamin and mineral deficiencies, overweight, obesity, and resulting diet-related non-communicable diseases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1.1 Assessment: Demonstrates knowledge and skills in the use of different methods of nutrition screening and assessment to evaluate nutrition status at the individual/household, and community level</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89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1.1.1 Demonstrates knowledge of  the nature, origin, progress, and causes of undernutrition, vitamin and mineral </w:t>
            </w:r>
            <w:r w:rsidRPr="00042F40">
              <w:rPr>
                <w:rFonts w:ascii="Times New Roman" w:eastAsia="Times New Roman" w:hAnsi="Times New Roman"/>
                <w:bCs/>
                <w:color w:val="000000"/>
                <w:sz w:val="20"/>
                <w:szCs w:val="20"/>
              </w:rPr>
              <w:t>deficiencies</w:t>
            </w:r>
            <w:r w:rsidRPr="00042F40">
              <w:rPr>
                <w:rFonts w:ascii="Times New Roman" w:eastAsia="Times New Roman" w:hAnsi="Times New Roman"/>
                <w:color w:val="000000"/>
                <w:sz w:val="20"/>
                <w:szCs w:val="20"/>
              </w:rPr>
              <w:t>, overweight, obesity, non-communicable diseases (e.g. diabetes, cancer, cardiovascular diseases) and other disease conditions whose management requires nutrition therapy (e.g. lower and upper gastrointestinal tract disorders; liver disorders; food allergies and intolerances; conditions arising from different nutrient deficiencies;  pulmonary diseases; renal disorders; metabolic complications, stress, burns, and trauma; rheumatic diseases; neurologic disorders; psychiatric conditions; genetic metabolic disorders; HIV/AIDs; and developmental related disabilities)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1.1.2 Demonstrates knowledge and skills to perform triage (identify clients in need of immediate attention by service providers)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1.1.3 Demonstrates knowledge and skills to undertake client clerking and using the emerging information to clearly and correctly fill and update the nutrition register</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1.1.4 Demonstrates knowledge and skills to identify and use different nutrition assessment screening tools appropriate for different age groups, physical status, physiological status, and disease state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1.1.5 Demonstrates knowledge and skills to perform clinical assessments  relevant for identification of undernutrition; vitamin and mineral deficiencies or excesses; diet-related non-communicable diseases; and disease conditions whose management requires nutrition therapy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1.1.6 Demonstrates knowledge and skills to perform dietary intake assessments using </w:t>
            </w:r>
            <w:r w:rsidRPr="00042F40">
              <w:rPr>
                <w:rFonts w:ascii="Times New Roman" w:eastAsia="Times New Roman" w:hAnsi="Times New Roman"/>
                <w:color w:val="000000"/>
                <w:sz w:val="20"/>
                <w:szCs w:val="20"/>
              </w:rPr>
              <w:lastRenderedPageBreak/>
              <w:t>objective and subjective techniques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1.1.7 Demonstrates knowledge on the use of different nutrition biochemical tests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1.1.8 Demonstrates ability to perform certain tests e.g. glucose, haemoglobin, vital signs (blood pressure, pulse/heart rate, body temperature and respiration rate)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1.1.9 Demonstrates knowledge and skills necessary for obtaining client history data as relates to medical treatment, disease, socio-economic status, culture/religious factors, psychological, and physical status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1.1.10 Demonstrates knowledge and skills to obtain perceptions/opinions from the client or client’s caretakers on underlying health condition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1.1.11 Demonstrates skills necessary for undertaking community screening, identifying, and referring malnourished individuals for health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1.1.12 Demonstrates knowledge and skills to work with other health team members to plan, conduct, and supervise home visits for active case finding of malnourished individuals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1.2 Nutrition Diagnosis: Uses client assessment data and his/her understanding of nutrition and dietetics to identify underlying problems that can be addressed through diet and nutrition-related interventions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1.2.1 Demonstrates knowledge on how to interpret results from different nutrition assessments in relation to different disease causal pathways, signs, and symptoms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1.2.2 Demonstrates knowledge and skills to use assessment findings to identify the form of malnutrition; and or diet related non-communicable or communicable disease affecting the client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1.2.3 Demonstrates knowledge and skills required to work in collaboration with other health team members to make appropriate diagnoses based on assessment findings.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1.3 Intervention: Demonstrates knowledge and skills to implement relevant diet and nutrition-related interventions depending on the disease condition, the severity of symptoms, availability of supplies, and other prevailing socio economic and environmental conditions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 Demonstrates knowledge and skills required to work with an interdisciplinary health team in the management of clients across the different health departments  with special emphasis on paediatrics, maternity intensive care unit, dysphagia clinics, HIV/AIDS, cardiovascular  unit, burn units, cancer, emergency units, chronic disease treatment units, dentistry, diabetes mellitus, obesity, hypertension, infectious diseases such as malaria, and neurologic disorder management clinics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448"/>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1.3.2 Demonstrates knowledge and skills to design and implement nutrition and dietetic care intervention plans through collaboration with the client, his/her caretakers, and an interdisciplinary health care team</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1.3.3 Demonstrates knowledge and skills  to set measurable and achievable short and long-term recovery goals for the client based on assessment and diagnosis results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23"/>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1.3.4 Demonstrates knowledge and skills to communicate results of assessment, diagnosis and intervention plans with the client and /or, depending on prevailing circumstances, with the client's caretakers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1.3.5 Demonstrates knowledge of determining client nutrition requirements upon interpretation of nutrition assessment results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1.3.6 Demonstrates knowledge and skills to design therapeutic diets tailored to particular diseases, health, and lifestyle needs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1.3.7 Demonstrates knowledge of tube feeding and skills to insert feeding tubes appropriate for different disease conditions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1.3.8* Demonstrates knowledge and skills to prepare and administer therapeutic diets and feeds (e.g. F75, F 100, RUTF)</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1.3.9 Demonstrates knowledge and skills to monitor  enteral therapeutic feeding depending on the client’s disease condition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1.3.10 Demonstrates knowledge and skills to administer and monitor parenteral feeding as required for different conditions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1.3.11 Demonstrates knowledge and skills to offer tailored nutrition and dietetics guidance and counselling services to clients and their caretakers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1.3.12 Demonstrates skills to sensitize clients and their guardians on the role of care for improved nutrition outcomes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1.3.13 Demonstrates knowledge and skills to support clients in managing specific nutrient-drug interactions for optimum drug efficacy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1.3.14 Demonstrates knowledge and skills to offer individualized guidance on the use of vitamin and mineral supplements to address different nutrient deficiencies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1.3.15 Demonstrates knowledge and skills to design meal plans for clients to meet therapeutic/supplementary purposes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1.3.16 Demonstrates knowledge and skills to prescribe exercise/ lifestyle strategies that suit the client conditions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1.3.17 Demonstrates knowledge and skills to perform cooking demonstrations to clients and caretakers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1.3.18 Demonstrates knowledge and skills to plan for and conduct community nutrition outreaches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1.3.19 Demonstrates knowledge and skills to undertake community awareness and sensitization on nutrition and health*</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1.3.20 Demonstrates knowledge and skills to manage clients under the different phases of acute management of malnutrition (ITC, OTC, SFP, community outreach)</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1.3.21 Demonstrates knowledge and skills to manage other cases of malnutrition amongst clients both within the hospital and in the community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1.3.22 Demonstrates knowledge of referral processes and their use in referring clients for other health care interventions beyond the realm/scope of nutrition and dietetics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1.3.23 Demonstrates knowledge and adheres to established national and international guidelines and institutional protocols for nutrition assessment, classification and management (e.g. IMAM guidelines, IYCF guidelines, Diet-related NCD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95"/>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1.4 Monitoring and Evaluation of Nutrition Interventions:  Demonstrates knowledge and skills to monitor client progress through the care interventions in relation to the applied nutrition intervention and set goals/desired outcomes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06"/>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1.4.1 Demonstrates knowledge of different reference standards (WHO Growth Standards, Admission and Discharge Criteria) in nutrition care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1.4.2 Demonstrates knowledge and skills to assess client progress on interventions based on review of client medical records vis-à-vis the set goals/desired outcomes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1.4.3 Demonstrates knowledge and skills to identify the causes of relapse and defaulting amongst clients admitted to a nutrition program</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1.4.4 Demonstrates knowledge and skills to review adherence to prescribed interventions, identify client challenges, and adjust interventions as may be required</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1.4.5 Demonstrates knowledge and skills to communicate with clients/caretakers the results of the monitoring and evaluation using easy to understand but standard terminology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1.4.6 Demonstrates knowledge and skills to compile, analyse, and utilize data from nutrition therapy to improve both the client and program outcomes.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1.5 Emergency Nutrition: Demonstrates knowledge of and skills to offer nutrition services in differing emergency contexts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1.5.1 Demonstrates general understanding of the recommended minimum standards in humanitarian response with emphasis on food security and nutrition as stipulated in the SPHERE handbook and as updated from time to time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1.5.2 Demonstrates knowledge and skills to support the functionality of ITC, OTC, IYCF-E services in emergency and refugee settings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1.5.3 Demonstrates technical knowhow on how to plan and conduct mass screenings in refugee settlements and emergency contexts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1.5.4 Demonstrates knowledge and skills to train nutrition staff, volunteers and peer counsellors on IYCF-E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51"/>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1.5.5 Demonstrates knowledge and skills to undertake monitoring of emergency activities (Food Distribution, growth monitoring and promotion, childhood nutrition, micronutrient supplementation, and IYCF-E) in refugee settlements and emergency </w:t>
            </w:r>
            <w:r w:rsidRPr="00042F40">
              <w:rPr>
                <w:rFonts w:ascii="Times New Roman" w:eastAsia="Times New Roman" w:hAnsi="Times New Roman"/>
                <w:color w:val="000000"/>
                <w:sz w:val="20"/>
                <w:szCs w:val="20"/>
              </w:rPr>
              <w:lastRenderedPageBreak/>
              <w:t>contexts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1.5.6 Demonstrates knowledge and skills to develop and maintain humanitarian working relations with all concerned stakeholders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1.6 Technical support and capacity development in the management of malnutrition: Uses his/her expertise in nutrition and dietetics to offer technical support and capacity development as may be required by different stakeholders or fellow professionals and health team members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1.6.1 Demonstrates knowledge of different approaches in undertaking Quality Improvement (QI)</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1.6.2 Demonstrates skills on using approved QI tools to facilitate the sustainable delivery of quality and equitable nutrition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430"/>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1.6.3 Demonstrates knowledge and skills to plan and conduct on job mentorship and continuous medical education (CME) for fellow professionals, other health staff, and Village Health Team members on various nutrition packages used in the country (e.g.  IMAM, IYCF, MIYCAN, NACS, Nutrition in emergency, Nutrition and HIV/AIDs, Positive Deviance, Nutrition screening and case detection, and WASH)</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1.6.4 Demonstrates knowledge and skills necessary for supervising nutrition staff and other health cadres offering nutrition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1.6.5 Demonstrates team work skills necessary for undertaking support supervision of health facilities offering nutrition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1.6.6 Demonstrates knowledge and skills to support project needs assessment, monitoring and evaluation to improve the provision of nutrition and dietetics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1.6.7 Demonstrates ability to undertake personal initiative towards professional growth and development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1.7 Interprofessional collaboration in management of malnutrition: Demonstrates knowledge and skills necessary to collaborate and work with an interdisciplinary team</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1.7.1 Demonstrates knowledge and respect for the core values and responsibilities of his/her profession and those of other fellow health professionals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1.7.2 Demonstrates knowledge of ethical principles in interprofessional training and practice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1.7.3 Demonstrates team work and collaborative skills required to work with other health professionals for the effective delivery of health and nutrition related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1.7.4 Demonstrates effective verbal and non-verbal communication skills required for interprofessional collaboration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1.7.5 Demonstrates knowledge and skills to identify and manage ethical dilemmas and related conflicts that may arise due to interprofessional collaborations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1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lastRenderedPageBreak/>
              <w:t>1.8 Water, Sanitation, and Hygiene (WASH): Demonstrates knowledge and skills required for promoting WASH at individual, household, community and facility level</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1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1.8.1 Demonstrates knowledge of the linkage between WASH and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04"/>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1.8.2 Demonstrates knowledge and skills to promote adherence to safe water chain practices (water collection, handling, transportation, storage, treatment, and consumption)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7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1.8.3 Demonstrates knowledge on the different types of sanitation facilities (e.g. latrines or toilets, waste/garbage disposal) and skills to promote their use at different levels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1.8.4 Demonstrates knowledge and skills required for the promotion of individual and domestic hygiene practices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1.8.5 Demonstrates knowledge and skills relevant for ensuring infection control in health facilities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1.8.6 Demonstrates knowledge and skills required to align WASH in Nutrition programming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1.9 Procurement/Management of nutrition supplies: Demonstrates knowledge of the different processes and skills necessary for procurement, storage, distribution, and disposal of nutrition related supplies and/or equipment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31"/>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1.9.1 Demonstrates knowledge and skills necessary for liaising with different stakeholder’s including the UN agencies and donors for the effective provision of nutrition supplies and equipment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1.9.2 Demonstrates knowledge of food safety and hygiene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1.9.3 Demonstrates skills necessary for maintaining high hygienic standards of hospital/institutional food storage facilities following recommended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1.9.4 Demonstrates knowledge and skills for effective management of nutrition commodities through forecasting, requisition, stocking and utilization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1.9.5 Demonstrates skills to provide guidance on the purchasing and stocking of therapeutic feeds and other related food supplies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9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1.10 Data management and record keeping: Demonstrates knowledge and skills for the efficient collection, analysis/processing, dissemination, use, and storage of data as relates to the provided nutrition, dietetics, and related health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5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1.10.1 Demonstrates knowledge and skills on the use of different formats of patient and healthcare information systems (non-digital or digital e.g., the electronic medical record and electronic health record systems)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32"/>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1.10.2 Demonstrates knowledge and skills of using the different client/medical records documentation styles (e.g. ADIME: Assessment, Diagnosis, Intervention, Monitoring </w:t>
            </w:r>
            <w:r w:rsidRPr="00042F40">
              <w:rPr>
                <w:rFonts w:ascii="Times New Roman" w:eastAsia="Times New Roman" w:hAnsi="Times New Roman"/>
                <w:color w:val="000000"/>
                <w:sz w:val="20"/>
                <w:szCs w:val="20"/>
              </w:rPr>
              <w:lastRenderedPageBreak/>
              <w:t>and Evaluation; DAP: Diagnosis, Assessment, Plan; PES: Problem, Aetiology, Signs and symptoms; SOAP: Subjective, Objective, Assessment, Plan)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6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1.10.3 Demonstrates knowledge in the use of the Health Management Information System (HMIS) as relates to the collection, processing, storage, retrieval, and dissemination of nutrition and related health information for decision making, planning, monitoring and evaluation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0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1.10.4 Demonstrates knowledge and skills in using up-to-date HMIS tools (e.g. HMIS form 076, Order Form: HMIS Form 085; Daily dispensing log: HMIS Form 016; Requisition and issue voucher: HMIS Form 017; Stock card: HMIS Form 015) to capture quality HMIS data</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1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1.10.5 Demonstrates knowledge and skills to train fellow cadres on the use of HMIS tools to capture nutrition services related data</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6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1.10.6 Demonstrates skills to collaborate with the district bio-statistician to consolidate and enter nutrition data into routine HMIS system*</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79"/>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1.10.7 Demonstrates knowledge and skills to analyse, present, and discuss HMIS nutrition data with different stakeholders for advocacy, decision making, and planning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1.10.8 Demonstrates knowledge and skills to compile and share monitoring and evaluation reports on the provided services following established organisational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1.10.9 Demonstrates knowledge and skills necessary for proper filing client/medical records and other organisational documents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13"/>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Domain 2: Nutrition in the Lifecycle: Demonstrates knowledge and skills relevant for the promotion of optimal nutrition across the different stages of the human lifecycle: pregnancy and lactation, infancy, childhood, adolescence, adult years, and the elderly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1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 Demonstrates knowledge of the nutrition requirements through the different phases of the human lifecycle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2.2 Demonstrate skills to undertake nutrition assessment, counselling, and support (NACS) in the context of MIYCAN, adults and elderly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04"/>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2.3 Demonstrates knowledge and skills to identify and manage cases of malnutrition among infants, young children, adolescents, pregnant and lactating women, adults and the elderly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2.4 Demonstrates knowledge and skills to undertake Growth Monitoring and Promotion (GMP) activities.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auto" w:fill="auto"/>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2.5 Demonstrates knowledge of the role of care in nutrition and the skills necessary for its provision across the lifecycle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2.6 Demonstrates skills on feeding infants and young children under normal </w:t>
            </w:r>
            <w:r w:rsidRPr="00042F40">
              <w:rPr>
                <w:rFonts w:ascii="Times New Roman" w:eastAsia="Times New Roman" w:hAnsi="Times New Roman"/>
                <w:color w:val="000000"/>
                <w:sz w:val="20"/>
                <w:szCs w:val="20"/>
              </w:rPr>
              <w:lastRenderedPageBreak/>
              <w:t>circumstances; those exposed to HIV; those in emergencies; and in other exceptionally difficult circumstances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2.7 Demonstrates knowledge and skills to support clinical lactation management for the mother-infant pair</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2.8 Demonstrates skills to guide and counsel HIV infected mothers on feeding recommendations for both the mothers and infants in the HIV/AIDS context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4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2.9 Demonstrates knowledge of different community approaches/models (e.g. community support groups, mother care support groups, Positive Deviance/Hearth approach) used to promote optimal MIYCAN; adult and geriatric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2.10 Demonstrates skills to plan and undertake community outreaches on issues relevant to promoting optimal MIYCAN; adult and geriatric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2.11 Demonstrates skills necessary for undertaking community sensitization aimed at reducing vitamin and mineral deficiencies of public health concern (e.g. Vitamin A and the minerals iron, iodine, zinc)*</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7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2.12 Demonstrates knowledge and skills to plan and conduct food demonstrations for purposes of promoting MIYCAN; adult and geriatric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8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2.13 Demonstrates knowledge of public health interventions such as food fortification, iodization, bio-fortification and their application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6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2.14 Demonstrates knowledge and skills to design and use appropriate and consistent Information, Education and Communication (IEC) materials for promoting optimal MIYCAN; adult and geriatric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2.15 Demonstrates knowledge of the Baby Friendly Hospital Initiative (BFHI) and skills necessary for supporting facilities to obtain BFHI status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2.16 Demonstrates knowledge of the WHO International Code of Marketing </w:t>
            </w:r>
            <w:proofErr w:type="spellStart"/>
            <w:r w:rsidRPr="00042F40">
              <w:rPr>
                <w:rFonts w:ascii="Times New Roman" w:eastAsia="Times New Roman" w:hAnsi="Times New Roman"/>
                <w:color w:val="000000"/>
                <w:sz w:val="20"/>
                <w:szCs w:val="20"/>
              </w:rPr>
              <w:t>Breastmilk</w:t>
            </w:r>
            <w:proofErr w:type="spellEnd"/>
            <w:r w:rsidRPr="00042F40">
              <w:rPr>
                <w:rFonts w:ascii="Times New Roman" w:eastAsia="Times New Roman" w:hAnsi="Times New Roman"/>
                <w:color w:val="000000"/>
                <w:sz w:val="20"/>
                <w:szCs w:val="20"/>
              </w:rPr>
              <w:t xml:space="preserve"> Substitutes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592"/>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2.17 Demonstrates knowledge of existing national policies, guidelines, and protocols that support the promotion of MIYCAN; adult and geriatric nutrition (e.g. National Health Policy, National Policy Guidelines and Service Standards for Reproductive Health Services, National Anaemia Policy, BFHI guidelines, Integrated Management of Childhood Illnesses guidelines, Food Fortification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4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2.18 Demonstrates knowledge and skills to work inter-professionally and in collaboration with other key stakeholders to promote MIYCAN; adult and geriatric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42"/>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2.19 Demonstrates knowledge and skills to provide technical support and guidance to district leadership on strategies to promote optimal MIYCAN; adult and geriatric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 xml:space="preserve">Domain 3: Food Security; Agriculture; and Livelihoods Promotion: Demonstrates </w:t>
            </w:r>
            <w:r w:rsidRPr="00042F40">
              <w:rPr>
                <w:rFonts w:ascii="Times New Roman" w:eastAsia="Times New Roman" w:hAnsi="Times New Roman"/>
                <w:b/>
                <w:bCs/>
                <w:color w:val="000000"/>
                <w:sz w:val="20"/>
                <w:szCs w:val="20"/>
              </w:rPr>
              <w:lastRenderedPageBreak/>
              <w:t>knowledge of food security and safety; agriculture; and livelihoods and skills necessary for their implementation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5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lastRenderedPageBreak/>
              <w:t>3.1 Nutrition Sensitive Agriculture, Food Security and Livelihoods Promotion: Demonstrates knowledge and skills to design and implement nutrition-sensitive agriculture, food security, and livelihoods interventions in different contexts (e.g. emergency situations, community settings)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5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3.1.1 Demonstrates knowledge of the concept of food and nutrition security and the cross-cutting issues between food and nutrition security and gender; climate change; HIV/AIDs; conflicts, crises, and natural disasters, political stability/instability; poverty; and sustainable livelihoods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23"/>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3.1.2 Demonstrates knowledge of the different instruments for preventing and managing food crises (Food aid, Food security reserves, Food security funds, Crisis management plans, Early warning, and market information systems)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1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3.1.3 Demonstrates knowledge of the concept of livelihoods promotion, related strategies, and activities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06"/>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3.1.4 Demonstrates knowledge of indicators of food and nutrition security at different levels (micro, </w:t>
            </w:r>
            <w:proofErr w:type="spellStart"/>
            <w:r w:rsidRPr="00042F40">
              <w:rPr>
                <w:rFonts w:ascii="Times New Roman" w:eastAsia="Times New Roman" w:hAnsi="Times New Roman"/>
                <w:color w:val="000000"/>
                <w:sz w:val="20"/>
                <w:szCs w:val="20"/>
              </w:rPr>
              <w:t>meso</w:t>
            </w:r>
            <w:proofErr w:type="spellEnd"/>
            <w:r w:rsidRPr="00042F40">
              <w:rPr>
                <w:rFonts w:ascii="Times New Roman" w:eastAsia="Times New Roman" w:hAnsi="Times New Roman"/>
                <w:color w:val="000000"/>
                <w:sz w:val="20"/>
                <w:szCs w:val="20"/>
              </w:rPr>
              <w:t>, and macro)</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3.1.5 Demonstrates knowledge and skills necessary for implementing integrated nutrition, food security, and livelihoods projects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6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3.1.6 Demonstrates knowledge and skills to analyse the influence of existing national laws, regulations, policies, and sectoral plans on food security and livelihoods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25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3.1.7 Demonstrates knowledge and skills necessary for implementing good agricultural practices (GAPs) in crop production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69"/>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3.1.8 Demonstrates knowledge of climate-smart approaches and skills necessary for their application in the agriculture value chain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5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3.1.9 Demonstrates knowledge and skills to select and implement nutrition-sensitive agriculture interventions (e.g. establishing home gardens, cultivation of fruits and vegetables, household domestication of small livestock)</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3.1.10 Demonstrates knowledge and skills of livestock production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79"/>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3.1.11 Demonstrates knowledge and skills necessary for implementing community and school feeding projects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3.1.12 Demonstrates knowledge and skills to conduct community level sensitization meetings on food security, nutrition, and livelihoods promotion*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3.1.13 Demonstrates knowledge and skills of designing and implementing assessments for food security, agriculture, and livelihoods at different levels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3.2 Post-harvest handling and food safety management: Demonstrates knowledge and skills to promote food safety across the food value chain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5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3.2.1 Demonstrates knowledge of post-harvest handling and skills to control food losses (in terms of quantity and quality) along the food value chain using modern and local/traditionally effective techniques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3.2.2 Demonstrates knowledge and skills to apply the principles of Hazard Analysis and Critical Control Point (HACCP) in the food industry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3.2.3 Demonstrates knowledge and skills to apply the CODEX general principles of food hygiene and food safety management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Domain 4: Ethics and professionalism: Understands and adheres to the existing professional code of ethics and practice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9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4.1 Knowledge of Codes of Ethics, Practice Guidelines, and Standard Operating Procedures: Understands the existing professional code of ethics and practice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7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4.1.1 Demonstrates knowledge of the existing national codes of ethics, practice guidelines, and standard operating procedures (e.g. Code of Conduct and Ethics for the Uganda Public Service and the Code of Conduct and Ethics for Health Workers)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42"/>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4.1.2 Demonstrates knowledge to undertake personal initiative to update him/herself with changes in the professional and organisational code of ethics, practice guidelines, and standard operating procedures*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1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4.1.3 Demonstrates knowledge and skills to recognize and seek redress for unethical practices and behaviours*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0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4.1.4 Demonstrate knowledge and skills necessary to recognise and work within the boundaries of organisational laws, regulations, guidelines, protocols, and standard operating procedures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4.1.5 Demonstrates knowledge and skills to identify and resolve work-related conflicts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7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4.2 Ethical principles in practice: Demonstrates skills necessary for upholding professionalism, confidentiality, transparency, integrity, and accountability at all times to ensure the provision of quality services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4.2.1 Demonstrates skills necessary for engaging clients/caretakers in making informed decisions as relates to the interventions to be undertaken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4.2.2 Demonstrates skills necessary for upholding client privacy and confidentiality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4.2.3 Demonstrates knowledge and skills necessary to maintain professional-client boundaries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7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4.2.4 Demonstrates skills necessary for upholding human rights principles (Universality and Inalienability; Indivisibility; Interdependence and Interrelatedness; Equality and Non-discrimination; Participation and Inclusion; and Accountability and Rule of Law) in dealing with clients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4.2.5 Demonstrates skills to identify individual professional limitations and seeks </w:t>
            </w:r>
            <w:r w:rsidRPr="00042F40">
              <w:rPr>
                <w:rFonts w:ascii="Times New Roman" w:eastAsia="Times New Roman" w:hAnsi="Times New Roman"/>
                <w:color w:val="000000"/>
                <w:sz w:val="20"/>
                <w:szCs w:val="20"/>
              </w:rPr>
              <w:lastRenderedPageBreak/>
              <w:t>expert guidance on tasks beyond his/her understanding*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43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lastRenderedPageBreak/>
              <w:t>Domain 5: Research and Data Analysis: Demonstrates knowledge and skills necessary to coordinate nutrition and health related research processes from planning, data collection, analysis, report writing, and dissemination of findings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5.1    Planning &amp; Data Collection: Demonstrates knowledge and skills required for developing research plans and data collection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5.1.1 Demonstrates knowledge and skills on the application of different research designs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06"/>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5.1.2 Demonstrates knowledge and skills on the use of different quantitative and qualitative data collection methods and techniques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5.1.3 Demonstrates knowledge and skills required to design appropriate nutrition and health related data collection tools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17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5.1.4 Demonstrates knowledge and skills on the use of different nutrition indicators (nutrition status indicators, indicators for assessing the causes of malnutrition (e.g. food insecurity indicators; care and caring practices; and environmental hygiene and access to the health services), indicators for monitoring and evaluating performance of nutrition programmes/projects, and related indicators as applied in demographic and health survey studies) in research</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5.1.5 Demonstrates knowledge and skills to design articulate research proposals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8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5.1.6 Demonstrates knowledge of different academic databases and search engines and their use in identifying relevant nutrition and health related research</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5.1.7 Demonstrates knowledge and skills to work with interdisciplinary teams to plan and undertake research at the community, district, regional, and or national level</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5.1.8 Demonstrates knowledge and skills on the use of different nutrition screening and assessment tools and techniques*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94"/>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5.1.9 Demonstrates skills to perform and document assessments of client history as relates to medical treatment, disease, social-economic status, culture/religious factors, psychological, and physical status*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4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5.1.10 Demonstrates knowledge and skills to perform and interpret findings from anthropometric, dietary, clinical, and biochemical assessments appropriate for different age groups, physical status, physiological status, and disease state*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5.1.11 Demonstrates knowledge of ethical principles in research and adheres to the established research guidelines by the Uganda National Council of Science and Technology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5.1.12 Demonstrates knowledge and skills to identify research opportunities relevant to professional practice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38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 xml:space="preserve">5.2 Data Analysis, Report Writing and Results Dissemination: Demonstrates </w:t>
            </w:r>
            <w:r w:rsidRPr="00042F40">
              <w:rPr>
                <w:rFonts w:ascii="Times New Roman" w:eastAsia="Times New Roman" w:hAnsi="Times New Roman"/>
                <w:b/>
                <w:bCs/>
                <w:color w:val="000000"/>
                <w:sz w:val="20"/>
                <w:szCs w:val="20"/>
              </w:rPr>
              <w:lastRenderedPageBreak/>
              <w:t>knowledge and skills to ably undertake data analysis, report writing and results dissemination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lastRenderedPageBreak/>
              <w:t>5.2.1 Demonstrates knowledge and skills on the application of appropriate statistical tests (both parametric and non-parametric)</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38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5.2.2 Demonstrates knowledge and skills on the use of different software programs (e.g. </w:t>
            </w:r>
            <w:proofErr w:type="spellStart"/>
            <w:r w:rsidRPr="00042F40">
              <w:rPr>
                <w:rFonts w:ascii="Times New Roman" w:eastAsia="Times New Roman" w:hAnsi="Times New Roman"/>
                <w:color w:val="000000"/>
                <w:sz w:val="20"/>
                <w:szCs w:val="20"/>
              </w:rPr>
              <w:t>NutriSurvey</w:t>
            </w:r>
            <w:proofErr w:type="spellEnd"/>
            <w:r w:rsidRPr="00042F40">
              <w:rPr>
                <w:rFonts w:ascii="Times New Roman" w:eastAsia="Times New Roman" w:hAnsi="Times New Roman"/>
                <w:color w:val="000000"/>
                <w:sz w:val="20"/>
                <w:szCs w:val="20"/>
              </w:rPr>
              <w:t xml:space="preserve">, ENA for SMART, WHO </w:t>
            </w:r>
            <w:proofErr w:type="spellStart"/>
            <w:r w:rsidRPr="00042F40">
              <w:rPr>
                <w:rFonts w:ascii="Times New Roman" w:eastAsia="Times New Roman" w:hAnsi="Times New Roman"/>
                <w:color w:val="000000"/>
                <w:sz w:val="20"/>
                <w:szCs w:val="20"/>
              </w:rPr>
              <w:t>Anthro</w:t>
            </w:r>
            <w:proofErr w:type="spellEnd"/>
            <w:r w:rsidRPr="00042F40">
              <w:rPr>
                <w:rFonts w:ascii="Times New Roman" w:eastAsia="Times New Roman" w:hAnsi="Times New Roman"/>
                <w:color w:val="000000"/>
                <w:sz w:val="20"/>
                <w:szCs w:val="20"/>
              </w:rPr>
              <w:t xml:space="preserve">, WHO </w:t>
            </w:r>
            <w:proofErr w:type="spellStart"/>
            <w:r w:rsidRPr="00042F40">
              <w:rPr>
                <w:rFonts w:ascii="Times New Roman" w:eastAsia="Times New Roman" w:hAnsi="Times New Roman"/>
                <w:color w:val="000000"/>
                <w:sz w:val="20"/>
                <w:szCs w:val="20"/>
              </w:rPr>
              <w:t>AnthroPlus</w:t>
            </w:r>
            <w:proofErr w:type="spellEnd"/>
            <w:r w:rsidRPr="00042F40">
              <w:rPr>
                <w:rFonts w:ascii="Times New Roman" w:eastAsia="Times New Roman" w:hAnsi="Times New Roman"/>
                <w:color w:val="000000"/>
                <w:sz w:val="20"/>
                <w:szCs w:val="20"/>
              </w:rPr>
              <w:t xml:space="preserve">, EPI/ENA, </w:t>
            </w:r>
            <w:proofErr w:type="spellStart"/>
            <w:r w:rsidRPr="00042F40">
              <w:rPr>
                <w:rFonts w:ascii="Times New Roman" w:eastAsia="Times New Roman" w:hAnsi="Times New Roman"/>
                <w:color w:val="000000"/>
                <w:sz w:val="20"/>
                <w:szCs w:val="20"/>
              </w:rPr>
              <w:t>EPiInfo</w:t>
            </w:r>
            <w:proofErr w:type="spellEnd"/>
            <w:r w:rsidRPr="00042F40">
              <w:rPr>
                <w:rFonts w:ascii="Times New Roman" w:eastAsia="Times New Roman" w:hAnsi="Times New Roman"/>
                <w:color w:val="000000"/>
                <w:sz w:val="20"/>
                <w:szCs w:val="20"/>
              </w:rPr>
              <w:t xml:space="preserve">, SPSS, STATA, </w:t>
            </w:r>
            <w:proofErr w:type="spellStart"/>
            <w:r w:rsidRPr="00042F40">
              <w:rPr>
                <w:rFonts w:ascii="Times New Roman" w:eastAsia="Times New Roman" w:hAnsi="Times New Roman"/>
                <w:color w:val="000000"/>
                <w:sz w:val="20"/>
                <w:szCs w:val="20"/>
              </w:rPr>
              <w:t>ATLAS.ti</w:t>
            </w:r>
            <w:proofErr w:type="spellEnd"/>
            <w:r w:rsidRPr="00042F40">
              <w:rPr>
                <w:rFonts w:ascii="Times New Roman" w:eastAsia="Times New Roman" w:hAnsi="Times New Roman"/>
                <w:color w:val="000000"/>
                <w:sz w:val="20"/>
                <w:szCs w:val="20"/>
              </w:rPr>
              <w:t xml:space="preserve">, and </w:t>
            </w:r>
            <w:proofErr w:type="spellStart"/>
            <w:r w:rsidRPr="00042F40">
              <w:rPr>
                <w:rFonts w:ascii="Times New Roman" w:eastAsia="Times New Roman" w:hAnsi="Times New Roman"/>
                <w:color w:val="000000"/>
                <w:sz w:val="20"/>
                <w:szCs w:val="20"/>
              </w:rPr>
              <w:t>NVivo</w:t>
            </w:r>
            <w:proofErr w:type="spellEnd"/>
            <w:r w:rsidRPr="00042F40">
              <w:rPr>
                <w:rFonts w:ascii="Times New Roman" w:eastAsia="Times New Roman" w:hAnsi="Times New Roman"/>
                <w:color w:val="000000"/>
                <w:sz w:val="20"/>
                <w:szCs w:val="20"/>
              </w:rPr>
              <w:t>) applied in the analysis of nutrition-related data</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5.2.3 Demonstrates knowledge and skills to synthesise findings from available data sets*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5.2.4 Demonstrates knowledge and skills on use of the Health Information Management Systems to support data analysis and reporting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5.2.5 Demonstrates knowledge and skills to consolidate research findings into articulate reports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5.2.6 Demonstrates knowledge and skills required to write technical research reports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18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5.2.7 Demonstrates knowledge and skills necessary for reviewing, analysing, and writing synopses on relevant national and global level performance nutrition and health related data*</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 xml:space="preserve">5.2.8 Demonstrates knowledge and skills of planning and hosting seminars, workshops and conferences as well as sharing nutrition research with all relevant stakeholders using different </w:t>
            </w:r>
            <w:proofErr w:type="spellStart"/>
            <w:r w:rsidRPr="00042F40">
              <w:rPr>
                <w:rFonts w:ascii="Times New Roman" w:eastAsia="Times New Roman" w:hAnsi="Times New Roman"/>
                <w:sz w:val="20"/>
                <w:szCs w:val="20"/>
              </w:rPr>
              <w:t>fora</w:t>
            </w:r>
            <w:proofErr w:type="spellEnd"/>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142"/>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5.2.9 Demonstrates ability to undertake personal capacity development in advanced research in nutrition, health, and other relevant disciplines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403"/>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Domain 6: Policy; Advocacy; and Social and Behavioural Change Communication (SBCC) : Demonstrates knowledge and skills to contribute policy, advocacy and SBCC relevant to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sz w:val="20"/>
                <w:szCs w:val="20"/>
              </w:rPr>
            </w:pPr>
            <w:r w:rsidRPr="00042F40">
              <w:rPr>
                <w:rFonts w:ascii="Times New Roman" w:eastAsia="Times New Roman" w:hAnsi="Times New Roman"/>
                <w:b/>
                <w:bCs/>
                <w:sz w:val="20"/>
                <w:szCs w:val="20"/>
              </w:rPr>
              <w:t>6.1 Policy: Demonstrates knowledge and skills to contribute to the different stages of the policy cycle (Formulation, Implementation and Evaluation)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6.1.1 Demonstrates knowledge of the different national policies; laws; regulations; and sectoral policies and plans relevant to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6.1.2 Demonstrates knowledge and skills to contribute to the formulation of nutrition policies and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6.1.3 Demonstrates knowledge and skills to contribute to the evaluation/analysis of nutrition policies and guidelines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58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sz w:val="20"/>
                <w:szCs w:val="20"/>
              </w:rPr>
            </w:pPr>
            <w:r w:rsidRPr="00042F40">
              <w:rPr>
                <w:rFonts w:ascii="Times New Roman" w:eastAsia="Times New Roman" w:hAnsi="Times New Roman"/>
                <w:b/>
                <w:bCs/>
                <w:sz w:val="20"/>
                <w:szCs w:val="20"/>
              </w:rPr>
              <w:t>6.2 Advocacy: Demonstrates knowledge and skills necessary for planning and managing nutrition related advocacy campaigns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 xml:space="preserve">6.2.1 Demonstrates knowledge and skills required to undertake evidence-based policy </w:t>
            </w:r>
            <w:r w:rsidRPr="00042F40">
              <w:rPr>
                <w:rFonts w:ascii="Times New Roman" w:eastAsia="Times New Roman" w:hAnsi="Times New Roman"/>
                <w:sz w:val="20"/>
                <w:szCs w:val="20"/>
              </w:rPr>
              <w:lastRenderedPageBreak/>
              <w:t>and budget advocacy at different levels to influence change for nutrition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718"/>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lastRenderedPageBreak/>
              <w:t>6.2.2 Demonstrates knowledge of the different phases in developing advocacy strategies/plans (goal development; identification of primary and secondary audiences; identifying potential allies and opponents; selecting effective advocacy approaches; identification/development of advocacy messages; budgeting and identification of resources; and undertaking risk assessments for the developed strategies/plans)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304"/>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6.2.3 Demonstrates knowledge and skills to use advocacy techniques (e.g. policy monitoring and public accountability, policy dialogues, capacity building of stakeholders advocacy)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7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6.2.4 Demonstrates knowledge and skills to develop different advocacy tools (e.g. clear and concise audio messages) suitable for use across different channels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169"/>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6.2.5 Demonstrates knowledge and skills to use different advocacy tactics (e.g. letter writing, lobbying, use of media and internet, legal actions, campaigns, protests, and public demonstrations)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583"/>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6.2.6 Demonstrates knowledge and skills to undertake national and local level nutrition advocacy targeting decision-makers or influencers (politicians, government officials, public servants, privates sector leaders, local authority leaders, Development agencies, other INGO's, humanitarian actors, religious, and cultural leaders)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6.2.7 Demonstrates knowledge and skills to implement, monitor and evaluate the impact of advocacy initiatives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16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6.3 Social and Behavioural Change Communication: Demonstrates knowledge and skills necessary for planning, undertaking, and managing SBCC</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6.3.1 Demonstrates knowledge and skills to analyse and understand health and nutrition behaviours and the context in which they occur</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6.3.2 Demonstrates knowledge and skills of identifying the undesirable/un-intended culture/religious beliefs, practices, and food taboos existing in communities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7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6.3.3 Demonstrates knowledge and skills to use different theories of behaviour change (e.g. Health Belief Model, Theory of Planned Behaviour, Stages of Change/</w:t>
            </w:r>
            <w:proofErr w:type="spellStart"/>
            <w:r w:rsidRPr="00042F40">
              <w:rPr>
                <w:rFonts w:ascii="Times New Roman" w:eastAsia="Times New Roman" w:hAnsi="Times New Roman"/>
                <w:color w:val="000000"/>
                <w:sz w:val="20"/>
                <w:szCs w:val="20"/>
              </w:rPr>
              <w:t>Transtheoretical</w:t>
            </w:r>
            <w:proofErr w:type="spellEnd"/>
            <w:r w:rsidRPr="00042F40">
              <w:rPr>
                <w:rFonts w:ascii="Times New Roman" w:eastAsia="Times New Roman" w:hAnsi="Times New Roman"/>
                <w:color w:val="000000"/>
                <w:sz w:val="20"/>
                <w:szCs w:val="20"/>
              </w:rPr>
              <w:t xml:space="preserve"> Model, Social Learning Theory, Diffusion of Innovation Theory) in different contexts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6.3.4 Demonstrate knowledge and skills to network and work with other partners in the development of context-specific communication strategies for use in influencing positive behaviour change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6.3.5 Demonstrates knowledge and skills to develop and promote the use of appropriate IEC materials for influencing positive behaviour change in different settings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430"/>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6.3.6 Demonstrates knowledge of and adheres to ethical and ‘do no harm’ principles </w:t>
            </w:r>
            <w:r w:rsidRPr="00042F40">
              <w:rPr>
                <w:rFonts w:ascii="Times New Roman" w:eastAsia="Times New Roman" w:hAnsi="Times New Roman"/>
                <w:color w:val="000000"/>
                <w:sz w:val="20"/>
                <w:szCs w:val="20"/>
              </w:rPr>
              <w:lastRenderedPageBreak/>
              <w:t>(Respect everyone equally; Use acceptable methods for influence; Be conscious about power dynamics and risks of violence; Be transparent; Ensure people’s rights to privacy; Do not allow the shaming of individuals or groups; Establish and implement a clear Code of Conduct; Monitor and encourage feedback) in SBCC programming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9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lastRenderedPageBreak/>
              <w:t>6.3.7 Demonstrates knowledge and skills to mobilize community members, community groups, and existing community organizations towards undertaking sustainable engagements for influencing positive behaviour change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6.3.8 Demonstrates knowledge and skills to use different communication channels (e.g. face-to-face, broadcast media, mobile, electronic, and written) in undertaking SBCC</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6.3.9 Demonstrates knowledge and skills to monitor and evaluate the impact of SBCC initiatives on nutrition-related outcomes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205"/>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Domain 7: Nutrition Leadership and Management: Demonstrates knowledge of leadership and management skills necessary for nutrition programming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 xml:space="preserve">7.1 Planning and Budgeting: Demonstrates knowledge and skills to develop and </w:t>
            </w:r>
            <w:proofErr w:type="spellStart"/>
            <w:r w:rsidRPr="00042F40">
              <w:rPr>
                <w:rFonts w:ascii="Times New Roman" w:eastAsia="Times New Roman" w:hAnsi="Times New Roman"/>
                <w:b/>
                <w:bCs/>
                <w:color w:val="000000"/>
                <w:sz w:val="20"/>
                <w:szCs w:val="20"/>
              </w:rPr>
              <w:t>operationalise</w:t>
            </w:r>
            <w:proofErr w:type="spellEnd"/>
            <w:r w:rsidRPr="00042F40">
              <w:rPr>
                <w:rFonts w:ascii="Times New Roman" w:eastAsia="Times New Roman" w:hAnsi="Times New Roman"/>
                <w:b/>
                <w:bCs/>
                <w:color w:val="000000"/>
                <w:sz w:val="20"/>
                <w:szCs w:val="20"/>
              </w:rPr>
              <w:t xml:space="preserve"> nutrition program/project proposals, plans and budgets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7.1.1 Demonstrates knowledge and skills to develop nutrition program/project proposals with clearly defined goals and objectives*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7.1.2 Demonstrates knowledge and skills to develop nutrition program or project work plans and budgets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7.1.3 Demonstrates knowledge and skills to undertake resource mobilization (e.g. through raising of new resources, maximizing the use of already existing resources, and mapping of potential funders)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7.1.4 Demonstrates knowledge and skills to undertake nutrition program/project budget tracking</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7.2 Human Resource Management: Demonstrates knowledge of and skills to undertake different human resource managerial roles (staff recruitment, training; motivation; appraisal and employee relations management)</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7.2.1 Demonstrates knowledge of leadership and management principles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7.2.2 Demonstrates knowledge and skills to contribute to the recruitment of program/project staff and related support teams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7.2.3 Demonstrates knowledge of the processes and the benefits of supportive supervision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7.2.4 Demonstrates skills to set up organizational supportive supervision systems (plan, conduct, and follow up supportive supervision activities)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7.2.5 Demonstrates knowledge and skills to organize, coordinate, and contribute to training and mentorships of program/project staff and related stakeholders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 xml:space="preserve">7.3 Multi-sectoral and multi-stakeholder engagement: Demonstrates knowledge </w:t>
            </w:r>
            <w:r w:rsidRPr="00042F40">
              <w:rPr>
                <w:rFonts w:ascii="Times New Roman" w:eastAsia="Times New Roman" w:hAnsi="Times New Roman"/>
                <w:b/>
                <w:bCs/>
                <w:color w:val="000000"/>
                <w:sz w:val="20"/>
                <w:szCs w:val="20"/>
              </w:rPr>
              <w:lastRenderedPageBreak/>
              <w:t>and skills to engage in multi-sectoral and multi-stakeholder partnerships to maximize collaboration and ensure proper coordination of joint activities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lastRenderedPageBreak/>
              <w:t>7.3.1 Demonstrates knowledge and skills to map relevant program/project stakeholders at different levels of planning and or implementation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7.3.2 Demonstrates knowledge and skills to work in multi-sectoral and multi-stakeholder nutrition partnerships/engagements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7.3.3 Demonstrates knowledge and skills to identify and manage conflicts of interest (whether potential, real, perceived, and divergent or convergent) that arise in multi-sectoral and multi-stakeholder partnerships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7.3.4 Demonstrates knowledge on the composition, governance, and functionality of Multi Sectoral Coordination Committees at different levels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7.3.5 Demonstrate knowledge and skills to support Nutrition Coordination Committees in developing Multi Sectoral Nutrition Action Plans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7.4 Program/project Implementation: Demonstrates knowledge and skills to oversee timely and efficient program/project implementation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7.4.1 Demonstrates knowledge and skills necessary for program/project implementation in line with agreed-upon protocols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7.4.2 Demonstrates knowledge and skills to plan and lead organizational committee meetings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7.4.3 Demonstrates knowledge and skills to analyse technical reports about the program/project and follow up on the implementation of recommendations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b/>
                <w:bCs/>
                <w:color w:val="000000"/>
                <w:sz w:val="20"/>
                <w:szCs w:val="20"/>
              </w:rPr>
            </w:pPr>
            <w:r w:rsidRPr="00042F40">
              <w:rPr>
                <w:rFonts w:ascii="Times New Roman" w:eastAsia="Times New Roman" w:hAnsi="Times New Roman"/>
                <w:b/>
                <w:bCs/>
                <w:color w:val="000000"/>
                <w:sz w:val="20"/>
                <w:szCs w:val="20"/>
              </w:rPr>
              <w:t>7.5 Monitoring and Evaluation: Demonstrates knowledge and skills to plan, collect, and analyse data in regards to program/project implementation schedules, inputs, processes, and outputs/deliverables so as to enable the undertaking of timely decisions for improving performance and accountability</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7.5.1 Demonstrates knowledge of the relevance of undertaking program/project monitoring and evaluation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7.5.2 Demonstrates knowledge and skills on the use of the Development Assistance Committee (DAC) principles (relevance, effectiveness, efficiency, impact, and sustainability) for program/project evaluation</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t>7.5.3 Demonstrates knowledge and skills to analyse program/project monitoring and evaluation data to make relevant recommendations for improving program/project performance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7.5.4 Demonstrates knowledge and skills to prepare and present timely reports on program/project outcomes, activities, processes, and lessons learned to different stakeholders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color w:val="000000"/>
                <w:sz w:val="20"/>
                <w:szCs w:val="20"/>
              </w:rPr>
            </w:pPr>
            <w:r w:rsidRPr="00042F40">
              <w:rPr>
                <w:rFonts w:ascii="Times New Roman" w:eastAsia="Times New Roman" w:hAnsi="Times New Roman"/>
                <w:color w:val="000000"/>
                <w:sz w:val="20"/>
                <w:szCs w:val="20"/>
              </w:rPr>
              <w:t xml:space="preserve">7.5.5 Demonstrates knowledge of quality improvement (QI) and the skills to undertake </w:t>
            </w:r>
            <w:r w:rsidRPr="00042F40">
              <w:rPr>
                <w:rFonts w:ascii="Times New Roman" w:eastAsia="Times New Roman" w:hAnsi="Times New Roman"/>
                <w:color w:val="000000"/>
                <w:sz w:val="20"/>
                <w:szCs w:val="20"/>
              </w:rPr>
              <w:lastRenderedPageBreak/>
              <w:t>and coordinate QI activities for improving program/project performance</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color w:val="000000"/>
                <w:sz w:val="20"/>
                <w:szCs w:val="20"/>
              </w:rPr>
            </w:pPr>
          </w:p>
        </w:tc>
      </w:tr>
      <w:tr w:rsidR="006E47DA" w:rsidRPr="00042F40" w:rsidTr="00BA699D">
        <w:trPr>
          <w:trHeight w:val="67"/>
        </w:trPr>
        <w:tc>
          <w:tcPr>
            <w:tcW w:w="2739" w:type="pct"/>
            <w:tcBorders>
              <w:top w:val="nil"/>
              <w:left w:val="single" w:sz="8" w:space="0" w:color="auto"/>
              <w:bottom w:val="single" w:sz="8" w:space="0" w:color="auto"/>
              <w:right w:val="single" w:sz="8" w:space="0" w:color="auto"/>
            </w:tcBorders>
            <w:shd w:val="clear" w:color="000000" w:fill="FFFFFF"/>
            <w:hideMark/>
          </w:tcPr>
          <w:p w:rsidR="006E47DA" w:rsidRPr="00042F40" w:rsidRDefault="006E47DA" w:rsidP="00BA699D">
            <w:pPr>
              <w:spacing w:after="0" w:line="240" w:lineRule="exact"/>
              <w:rPr>
                <w:rFonts w:ascii="Times New Roman" w:eastAsia="Times New Roman" w:hAnsi="Times New Roman"/>
                <w:sz w:val="20"/>
                <w:szCs w:val="20"/>
              </w:rPr>
            </w:pPr>
            <w:r w:rsidRPr="00042F40">
              <w:rPr>
                <w:rFonts w:ascii="Times New Roman" w:eastAsia="Times New Roman" w:hAnsi="Times New Roman"/>
                <w:sz w:val="20"/>
                <w:szCs w:val="20"/>
              </w:rPr>
              <w:lastRenderedPageBreak/>
              <w:t>7.5.6 Demonstrates knowledge and skills to undertake program/project quality assurance to ensure that implemented programs/projects conform to expected requirements*</w:t>
            </w:r>
          </w:p>
        </w:tc>
        <w:tc>
          <w:tcPr>
            <w:tcW w:w="820"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888"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c>
          <w:tcPr>
            <w:tcW w:w="553" w:type="pct"/>
            <w:tcBorders>
              <w:top w:val="nil"/>
              <w:left w:val="nil"/>
              <w:bottom w:val="nil"/>
              <w:right w:val="nil"/>
            </w:tcBorders>
            <w:shd w:val="clear" w:color="auto" w:fill="auto"/>
            <w:noWrap/>
            <w:hideMark/>
          </w:tcPr>
          <w:p w:rsidR="006E47DA" w:rsidRPr="00042F40" w:rsidRDefault="006E47DA" w:rsidP="00BA699D">
            <w:pPr>
              <w:spacing w:after="0" w:line="240" w:lineRule="exact"/>
              <w:jc w:val="center"/>
              <w:rPr>
                <w:rFonts w:ascii="Times New Roman" w:eastAsia="Times New Roman" w:hAnsi="Times New Roman"/>
                <w:sz w:val="20"/>
                <w:szCs w:val="20"/>
              </w:rPr>
            </w:pPr>
          </w:p>
        </w:tc>
      </w:tr>
    </w:tbl>
    <w:p w:rsidR="00C67E74" w:rsidRDefault="006E47DA" w:rsidP="00EC1EFC">
      <w:pPr>
        <w:rPr>
          <w:rFonts w:ascii="Times New Roman" w:hAnsi="Times New Roman"/>
          <w:b/>
          <w:sz w:val="24"/>
          <w:szCs w:val="24"/>
        </w:rPr>
      </w:pPr>
      <w:r w:rsidRPr="00042F40">
        <w:rPr>
          <w:rFonts w:ascii="Times New Roman" w:hAnsi="Times New Roman"/>
          <w:sz w:val="20"/>
          <w:szCs w:val="20"/>
        </w:rPr>
        <w:t>*Represents questions that were excluded from the analysis</w:t>
      </w:r>
      <w:bookmarkStart w:id="2" w:name="_Toc81382188"/>
      <w:bookmarkEnd w:id="2"/>
    </w:p>
    <w:sectPr w:rsidR="00C67E74" w:rsidSect="000712A0">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4AB4" w:rsidRDefault="00314AB4" w:rsidP="003F357D">
      <w:pPr>
        <w:spacing w:after="0" w:line="240" w:lineRule="auto"/>
      </w:pPr>
      <w:r>
        <w:separator/>
      </w:r>
    </w:p>
  </w:endnote>
  <w:endnote w:type="continuationSeparator" w:id="0">
    <w:p w:rsidR="00314AB4" w:rsidRDefault="00314AB4" w:rsidP="003F3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147148"/>
      <w:docPartObj>
        <w:docPartGallery w:val="Page Numbers (Bottom of Page)"/>
        <w:docPartUnique/>
      </w:docPartObj>
    </w:sdtPr>
    <w:sdtContent>
      <w:sdt>
        <w:sdtPr>
          <w:id w:val="-1669238322"/>
          <w:docPartObj>
            <w:docPartGallery w:val="Page Numbers (Top of Page)"/>
            <w:docPartUnique/>
          </w:docPartObj>
        </w:sdtPr>
        <w:sdtContent>
          <w:p w:rsidR="0068752A" w:rsidRDefault="0068752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17</w:t>
            </w:r>
            <w:r>
              <w:rPr>
                <w:b/>
                <w:bCs/>
                <w:sz w:val="24"/>
                <w:szCs w:val="24"/>
              </w:rPr>
              <w:fldChar w:fldCharType="end"/>
            </w:r>
          </w:p>
        </w:sdtContent>
      </w:sdt>
    </w:sdtContent>
  </w:sdt>
  <w:p w:rsidR="0068752A" w:rsidRDefault="006875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4AB4" w:rsidRDefault="00314AB4" w:rsidP="003F357D">
      <w:pPr>
        <w:spacing w:after="0" w:line="240" w:lineRule="auto"/>
      </w:pPr>
      <w:r>
        <w:separator/>
      </w:r>
    </w:p>
  </w:footnote>
  <w:footnote w:type="continuationSeparator" w:id="0">
    <w:p w:rsidR="00314AB4" w:rsidRDefault="00314AB4" w:rsidP="003F35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50508"/>
    <w:multiLevelType w:val="hybridMultilevel"/>
    <w:tmpl w:val="505649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23A186B"/>
    <w:multiLevelType w:val="hybridMultilevel"/>
    <w:tmpl w:val="0DE21532"/>
    <w:lvl w:ilvl="0" w:tplc="A3DA7B1E">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55B087D"/>
    <w:multiLevelType w:val="hybridMultilevel"/>
    <w:tmpl w:val="B3FC3892"/>
    <w:lvl w:ilvl="0" w:tplc="A3DA7B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9950F2"/>
    <w:multiLevelType w:val="hybridMultilevel"/>
    <w:tmpl w:val="27763906"/>
    <w:lvl w:ilvl="0" w:tplc="090E9D2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7DA"/>
    <w:rsid w:val="000712A0"/>
    <w:rsid w:val="001D5D8E"/>
    <w:rsid w:val="00204F99"/>
    <w:rsid w:val="00220CD7"/>
    <w:rsid w:val="002A7F2D"/>
    <w:rsid w:val="00314AB4"/>
    <w:rsid w:val="003E3993"/>
    <w:rsid w:val="003F357D"/>
    <w:rsid w:val="00413549"/>
    <w:rsid w:val="004505D7"/>
    <w:rsid w:val="004B5685"/>
    <w:rsid w:val="00512149"/>
    <w:rsid w:val="0055730E"/>
    <w:rsid w:val="00577E8D"/>
    <w:rsid w:val="005879B5"/>
    <w:rsid w:val="005B74AF"/>
    <w:rsid w:val="0068752A"/>
    <w:rsid w:val="006B6B8C"/>
    <w:rsid w:val="006E47DA"/>
    <w:rsid w:val="006F010D"/>
    <w:rsid w:val="00731530"/>
    <w:rsid w:val="00887EBE"/>
    <w:rsid w:val="00A13200"/>
    <w:rsid w:val="00B82E13"/>
    <w:rsid w:val="00C074BA"/>
    <w:rsid w:val="00C67E74"/>
    <w:rsid w:val="00D5526B"/>
    <w:rsid w:val="00E5608D"/>
    <w:rsid w:val="00EC1EFC"/>
    <w:rsid w:val="00EE7022"/>
    <w:rsid w:val="00F915F8"/>
    <w:rsid w:val="00FE2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DA"/>
    <w:pPr>
      <w:spacing w:after="160" w:line="259"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6E47DA"/>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7DA"/>
    <w:rPr>
      <w:rFonts w:ascii="Calibri Light" w:eastAsia="Times New Roman" w:hAnsi="Calibri Light" w:cs="Times New Roman"/>
      <w:color w:val="2E74B5"/>
      <w:sz w:val="32"/>
      <w:szCs w:val="32"/>
      <w:lang w:val="en-GB"/>
    </w:rPr>
  </w:style>
  <w:style w:type="paragraph" w:styleId="ListParagraph">
    <w:name w:val="List Paragraph"/>
    <w:basedOn w:val="Normal"/>
    <w:uiPriority w:val="34"/>
    <w:qFormat/>
    <w:rsid w:val="006E47DA"/>
    <w:pPr>
      <w:ind w:left="720"/>
      <w:contextualSpacing/>
    </w:pPr>
  </w:style>
  <w:style w:type="character" w:styleId="Hyperlink">
    <w:name w:val="Hyperlink"/>
    <w:uiPriority w:val="99"/>
    <w:unhideWhenUsed/>
    <w:rsid w:val="006E47DA"/>
    <w:rPr>
      <w:color w:val="0563C1"/>
      <w:u w:val="single"/>
    </w:rPr>
  </w:style>
  <w:style w:type="paragraph" w:styleId="Header">
    <w:name w:val="header"/>
    <w:basedOn w:val="Normal"/>
    <w:link w:val="HeaderChar"/>
    <w:uiPriority w:val="99"/>
    <w:unhideWhenUsed/>
    <w:rsid w:val="003F3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357D"/>
    <w:rPr>
      <w:rFonts w:ascii="Calibri" w:eastAsia="Calibri" w:hAnsi="Calibri" w:cs="Times New Roman"/>
      <w:lang w:val="en-GB"/>
    </w:rPr>
  </w:style>
  <w:style w:type="paragraph" w:styleId="Footer">
    <w:name w:val="footer"/>
    <w:basedOn w:val="Normal"/>
    <w:link w:val="FooterChar"/>
    <w:uiPriority w:val="99"/>
    <w:unhideWhenUsed/>
    <w:rsid w:val="003F3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357D"/>
    <w:rPr>
      <w:rFonts w:ascii="Calibri" w:eastAsia="Calibri" w:hAnsi="Calibri" w:cs="Times New Roman"/>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7DA"/>
    <w:pPr>
      <w:spacing w:after="160" w:line="259"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6E47DA"/>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7DA"/>
    <w:rPr>
      <w:rFonts w:ascii="Calibri Light" w:eastAsia="Times New Roman" w:hAnsi="Calibri Light" w:cs="Times New Roman"/>
      <w:color w:val="2E74B5"/>
      <w:sz w:val="32"/>
      <w:szCs w:val="32"/>
      <w:lang w:val="en-GB"/>
    </w:rPr>
  </w:style>
  <w:style w:type="paragraph" w:styleId="ListParagraph">
    <w:name w:val="List Paragraph"/>
    <w:basedOn w:val="Normal"/>
    <w:uiPriority w:val="34"/>
    <w:qFormat/>
    <w:rsid w:val="006E47DA"/>
    <w:pPr>
      <w:ind w:left="720"/>
      <w:contextualSpacing/>
    </w:pPr>
  </w:style>
  <w:style w:type="character" w:styleId="Hyperlink">
    <w:name w:val="Hyperlink"/>
    <w:uiPriority w:val="99"/>
    <w:unhideWhenUsed/>
    <w:rsid w:val="006E47DA"/>
    <w:rPr>
      <w:color w:val="0563C1"/>
      <w:u w:val="single"/>
    </w:rPr>
  </w:style>
  <w:style w:type="paragraph" w:styleId="Header">
    <w:name w:val="header"/>
    <w:basedOn w:val="Normal"/>
    <w:link w:val="HeaderChar"/>
    <w:uiPriority w:val="99"/>
    <w:unhideWhenUsed/>
    <w:rsid w:val="003F35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357D"/>
    <w:rPr>
      <w:rFonts w:ascii="Calibri" w:eastAsia="Calibri" w:hAnsi="Calibri" w:cs="Times New Roman"/>
      <w:lang w:val="en-GB"/>
    </w:rPr>
  </w:style>
  <w:style w:type="paragraph" w:styleId="Footer">
    <w:name w:val="footer"/>
    <w:basedOn w:val="Normal"/>
    <w:link w:val="FooterChar"/>
    <w:uiPriority w:val="99"/>
    <w:unhideWhenUsed/>
    <w:rsid w:val="003F35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357D"/>
    <w:rPr>
      <w:rFonts w:ascii="Calibri" w:eastAsia="Calibri"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katspk200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B7D9B2-5B91-404E-9855-C20C5D132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5965</Words>
  <Characters>34005</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Peterson</dc:creator>
  <cp:lastModifiedBy>Peterson</cp:lastModifiedBy>
  <cp:revision>7</cp:revision>
  <dcterms:created xsi:type="dcterms:W3CDTF">2021-12-01T09:19:00Z</dcterms:created>
  <dcterms:modified xsi:type="dcterms:W3CDTF">2021-12-01T09:30:00Z</dcterms:modified>
</cp:coreProperties>
</file>