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C7A90">
      <w:pPr>
        <w:spacing w:after="200"/>
        <w:jc w:val="both"/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b/>
          <w:i w:val="0"/>
          <w:iCs w:val="0"/>
          <w:sz w:val="21"/>
          <w:szCs w:val="21"/>
        </w:rPr>
        <w:t>Supplementary Information</w:t>
      </w:r>
    </w:p>
    <w:p w14:paraId="66591363">
      <w:pPr>
        <w:keepNext/>
        <w:spacing w:before="120" w:after="80"/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b/>
          <w:i w:val="0"/>
          <w:iCs w:val="0"/>
          <w:sz w:val="21"/>
          <w:szCs w:val="21"/>
        </w:rPr>
        <w:t>Table S1.</w:t>
      </w:r>
      <w:r>
        <w:rPr>
          <w:rFonts w:hint="default" w:ascii="Times New Roman" w:hAnsi="Times New Roman" w:eastAsia="Times New Roman" w:cs="Times New Roman"/>
          <w:i w:val="0"/>
          <w:iCs w:val="0"/>
          <w:sz w:val="21"/>
          <w:szCs w:val="21"/>
        </w:rPr>
        <w:t xml:space="preserve"> Independent variables and coded levels used in the Box–Behnken design.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2466"/>
        <w:gridCol w:w="2466"/>
        <w:gridCol w:w="2466"/>
      </w:tblGrid>
      <w:tr w14:paraId="56276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0B8BE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Coded level</w:t>
            </w:r>
          </w:p>
        </w:tc>
        <w:tc>
          <w:tcPr>
            <w:tcW w:w="283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D0BD7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A: Anthocyanin concentration (%)</w:t>
            </w:r>
          </w:p>
        </w:tc>
        <w:tc>
          <w:tcPr>
            <w:tcW w:w="23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C77C4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B: Pectin proportion</w:t>
            </w:r>
          </w:p>
        </w:tc>
        <w:tc>
          <w:tcPr>
            <w:tcW w:w="283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C4C1F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C: Total polysaccharide concentration (%)</w:t>
            </w:r>
          </w:p>
        </w:tc>
      </w:tr>
      <w:tr w14:paraId="00FFE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C4290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−1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F2EF9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056AB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0.50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FED0A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2.0</w:t>
            </w:r>
          </w:p>
        </w:tc>
      </w:tr>
      <w:tr w14:paraId="77FAF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4CB97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5567B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0FD89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11AD8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</w:tr>
      <w:tr w14:paraId="35D3E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1504C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+1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4B882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0.15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6F93A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1.00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6B322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3.0</w:t>
            </w:r>
          </w:p>
        </w:tc>
      </w:tr>
    </w:tbl>
    <w:p w14:paraId="1E97FA43">
      <w:pPr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sz w:val="21"/>
          <w:szCs w:val="21"/>
        </w:rPr>
        <w:br w:type="page"/>
      </w:r>
      <w:bookmarkStart w:id="0" w:name="_GoBack"/>
      <w:bookmarkEnd w:id="0"/>
    </w:p>
    <w:p w14:paraId="2BFF6A56">
      <w:pPr>
        <w:keepNext/>
        <w:spacing w:before="120" w:after="80"/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b/>
          <w:i w:val="0"/>
          <w:iCs w:val="0"/>
          <w:sz w:val="21"/>
          <w:szCs w:val="21"/>
        </w:rPr>
        <w:t>Table S2.</w:t>
      </w:r>
      <w:r>
        <w:rPr>
          <w:rFonts w:hint="default" w:ascii="Times New Roman" w:hAnsi="Times New Roman" w:eastAsia="Times New Roman" w:cs="Times New Roman"/>
          <w:i w:val="0"/>
          <w:iCs w:val="0"/>
          <w:sz w:val="21"/>
          <w:szCs w:val="21"/>
        </w:rPr>
        <w:t xml:space="preserve"> Box–Behnken experimental design and measured encapsulation efficiency of ASD-loaded hydrogel beads.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973"/>
        <w:gridCol w:w="1973"/>
        <w:gridCol w:w="1973"/>
        <w:gridCol w:w="1973"/>
      </w:tblGrid>
      <w:tr w14:paraId="20B07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79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012C9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Run</w:t>
            </w:r>
          </w:p>
        </w:tc>
        <w:tc>
          <w:tcPr>
            <w:tcW w:w="232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1FB96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Anthocyanin concentration (%)</w:t>
            </w:r>
          </w:p>
        </w:tc>
        <w:tc>
          <w:tcPr>
            <w:tcW w:w="187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26CCC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Pectin proportion</w:t>
            </w:r>
          </w:p>
        </w:tc>
        <w:tc>
          <w:tcPr>
            <w:tcW w:w="243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50E23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Total polysaccharide concentration (%)</w:t>
            </w:r>
          </w:p>
        </w:tc>
        <w:tc>
          <w:tcPr>
            <w:tcW w:w="238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55AB5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Encapsulation efficiency (%)</w:t>
            </w:r>
          </w:p>
        </w:tc>
      </w:tr>
      <w:tr w14:paraId="13A87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BB858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C983C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7CB28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5C9D0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25849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39.13</w:t>
            </w:r>
          </w:p>
        </w:tc>
      </w:tr>
      <w:tr w14:paraId="23BF3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75A90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53849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FA0DC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CED1E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3.0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238EA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44.63</w:t>
            </w:r>
          </w:p>
        </w:tc>
      </w:tr>
      <w:tr w14:paraId="133C9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FBCB5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13B66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754E2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1CD12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A41A3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40.82</w:t>
            </w:r>
          </w:p>
        </w:tc>
      </w:tr>
      <w:tr w14:paraId="7B2A0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9093B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BEED2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9391D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A5826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1CEFF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50.51</w:t>
            </w:r>
          </w:p>
        </w:tc>
      </w:tr>
      <w:tr w14:paraId="6C078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002C7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E6085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F5E29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B1841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3.0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FF8EB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44.57</w:t>
            </w:r>
          </w:p>
        </w:tc>
      </w:tr>
      <w:tr w14:paraId="0FBAF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13AA4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1E010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AB726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BF753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3.0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B3626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50.69</w:t>
            </w:r>
          </w:p>
        </w:tc>
      </w:tr>
      <w:tr w14:paraId="3DD99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382F9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B8550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7BCFB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2ECD6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8D350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50.57</w:t>
            </w:r>
          </w:p>
        </w:tc>
      </w:tr>
      <w:tr w14:paraId="64615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22DCA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3EB5C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F58C1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6E71A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6C151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44.20</w:t>
            </w:r>
          </w:p>
        </w:tc>
      </w:tr>
      <w:tr w14:paraId="38B68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10014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8DFB9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6CD94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8BC4E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FA4EB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49.12</w:t>
            </w:r>
          </w:p>
        </w:tc>
      </w:tr>
      <w:tr w14:paraId="6991C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F1006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B3C99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4C2C7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1.00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7D26D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FE196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46.79</w:t>
            </w:r>
          </w:p>
        </w:tc>
      </w:tr>
      <w:tr w14:paraId="109BE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2AFB9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39CB5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3F85C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58885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69700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49.21</w:t>
            </w:r>
          </w:p>
        </w:tc>
      </w:tr>
      <w:tr w14:paraId="4B318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E6AF6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C6EA2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2C58C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B39B2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FC2CF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50.57</w:t>
            </w:r>
          </w:p>
        </w:tc>
      </w:tr>
      <w:tr w14:paraId="4D393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57010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8A598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9F10B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1.00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AC3CE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1F487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49.93</w:t>
            </w:r>
          </w:p>
        </w:tc>
      </w:tr>
      <w:tr w14:paraId="76CF8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2B220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28895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AC4A1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F64B0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92430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49.05</w:t>
            </w:r>
          </w:p>
        </w:tc>
      </w:tr>
      <w:tr w14:paraId="371D5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C48BE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483B3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C35C7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1.00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4C70F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3.0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C9ACD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48.35</w:t>
            </w:r>
          </w:p>
        </w:tc>
      </w:tr>
      <w:tr w14:paraId="473C7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DB9CD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17E84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5BAFC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1.00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9A005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EF7BD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47.28</w:t>
            </w:r>
          </w:p>
        </w:tc>
      </w:tr>
      <w:tr w14:paraId="38183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207AC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17</w:t>
            </w:r>
          </w:p>
        </w:tc>
        <w:tc>
          <w:tcPr>
            <w:tcW w:w="2324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B3D71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0.10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55F8D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3D18F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2.5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52720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49.98</w:t>
            </w:r>
          </w:p>
        </w:tc>
      </w:tr>
    </w:tbl>
    <w:p w14:paraId="0636227E">
      <w:pPr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sz w:val="21"/>
          <w:szCs w:val="21"/>
        </w:rPr>
        <w:br w:type="page"/>
      </w:r>
    </w:p>
    <w:p w14:paraId="3519B6B2">
      <w:pPr>
        <w:keepNext/>
        <w:spacing w:before="120" w:after="80"/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b/>
          <w:i w:val="0"/>
          <w:iCs w:val="0"/>
          <w:sz w:val="21"/>
          <w:szCs w:val="21"/>
        </w:rPr>
        <w:t>Table S3.</w:t>
      </w:r>
      <w:r>
        <w:rPr>
          <w:rFonts w:hint="default" w:ascii="Times New Roman" w:hAnsi="Times New Roman" w:eastAsia="Times New Roman" w:cs="Times New Roman"/>
          <w:i w:val="0"/>
          <w:iCs w:val="0"/>
          <w:sz w:val="21"/>
          <w:szCs w:val="21"/>
        </w:rPr>
        <w:t xml:space="preserve"> Analysis of variance, model adequacy, and validation statistics for the quadratic response surface model.</w:t>
      </w:r>
    </w:p>
    <w:p w14:paraId="4601D714">
      <w:pPr>
        <w:keepNext/>
        <w:spacing w:before="40" w:after="40"/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b/>
          <w:i w:val="0"/>
          <w:iCs w:val="0"/>
          <w:sz w:val="21"/>
          <w:szCs w:val="21"/>
        </w:rPr>
        <w:t>A. Analysis of variance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 w14:paraId="2501C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16322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Source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2EC39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Sum of squares</w:t>
            </w:r>
          </w:p>
        </w:tc>
        <w:tc>
          <w:tcPr>
            <w:tcW w:w="62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4B4BD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df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9F2CC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Mean square</w:t>
            </w:r>
          </w:p>
        </w:tc>
        <w:tc>
          <w:tcPr>
            <w:tcW w:w="113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1E333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F value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C4018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p value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740BC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Significance</w:t>
            </w:r>
          </w:p>
        </w:tc>
      </w:tr>
      <w:tr w14:paraId="18B6F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0448F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Model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E1728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196.69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3666F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3AE2E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824D8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31.81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6AD85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&lt; 0.0001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BAE88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***</w:t>
            </w:r>
          </w:p>
        </w:tc>
      </w:tr>
      <w:tr w14:paraId="4B324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D780B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28CFE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78.13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7F2B6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22EB9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78.13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13E18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113.72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BB805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&lt; 0.0001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BF858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***</w:t>
            </w:r>
          </w:p>
        </w:tc>
      </w:tr>
      <w:tr w14:paraId="17732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9AC3D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B7699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44.09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80748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247AA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44.09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0146D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64.17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77B82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&lt; 0.0001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57E1B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***</w:t>
            </w:r>
          </w:p>
        </w:tc>
      </w:tr>
      <w:tr w14:paraId="165F5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31946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B9645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4.29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38C19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737F8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DC990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6.25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7D477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0.0410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123C9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*</w:t>
            </w:r>
          </w:p>
        </w:tc>
      </w:tr>
      <w:tr w14:paraId="157FC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4A4B6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AB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38884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13.21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7D701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B1CC8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13.21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5FE6F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19.23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5273E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0.0032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E6E3C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**</w:t>
            </w:r>
          </w:p>
        </w:tc>
      </w:tr>
      <w:tr w14:paraId="667D0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E8D38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AC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751D9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0.0240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DDDD0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76354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30CC2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0.0350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73FE3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0.8570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CDFE4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ns</w:t>
            </w:r>
          </w:p>
        </w:tc>
      </w:tr>
      <w:tr w14:paraId="7B612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7AA50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BC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C177A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F6EFC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20FB4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F6D97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DA882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0.2280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DB136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ns</w:t>
            </w:r>
          </w:p>
        </w:tc>
      </w:tr>
      <w:tr w14:paraId="0096D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9BE49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A²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D704C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1.37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B4938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52F7E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B0AE1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1.99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8A60B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0.2009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F2A05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ns</w:t>
            </w:r>
          </w:p>
        </w:tc>
      </w:tr>
      <w:tr w14:paraId="6EDEC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F8C73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B²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1687E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36.90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93AC9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E1873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36.90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8348C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53.71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0DEAE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0.0002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4D59B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***</w:t>
            </w:r>
          </w:p>
        </w:tc>
      </w:tr>
      <w:tr w14:paraId="49174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1AECE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C²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810D5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13.42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58AE5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B096E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13.42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0B45C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19.53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60F4A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0.0031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D0E97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**</w:t>
            </w:r>
          </w:p>
        </w:tc>
      </w:tr>
      <w:tr w14:paraId="10BF1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E7B97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Residual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10C41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4.81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07B69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98DE6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0.6870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D2518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7C24D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AA114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</w:tr>
      <w:tr w14:paraId="448E6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053D0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Lack of fit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353A3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2.90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89804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7A3AE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0.9665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A3BDE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2.02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43EC7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0.2530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20A63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ns</w:t>
            </w:r>
          </w:p>
        </w:tc>
      </w:tr>
      <w:tr w14:paraId="25EEA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26508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Pure error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CE777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1.91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39726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AF830A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0.4774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9E0F5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0F0516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2AC5F2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</w:tr>
      <w:tr w14:paraId="681C2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F3318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Cor. total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9F055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201.50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98E15E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88E151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B0654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FA81A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18C3E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</w:tr>
    </w:tbl>
    <w:p w14:paraId="5145A029">
      <w:pPr>
        <w:spacing w:before="60" w:after="100"/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i w:val="0"/>
          <w:iCs w:val="0"/>
          <w:sz w:val="21"/>
          <w:szCs w:val="21"/>
        </w:rPr>
        <w:t>Significance codes: *** p &lt; 0.001; ** p &lt; 0.01; * p &lt; 0.05; ns, not significant.</w:t>
      </w:r>
    </w:p>
    <w:p w14:paraId="4BF07EF8">
      <w:pPr>
        <w:keepNext/>
        <w:spacing w:before="40" w:after="40"/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b/>
          <w:i w:val="0"/>
          <w:iCs w:val="0"/>
          <w:sz w:val="21"/>
          <w:szCs w:val="21"/>
        </w:rPr>
        <w:t>B. Model adequacy and validation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2466"/>
        <w:gridCol w:w="2466"/>
        <w:gridCol w:w="2466"/>
      </w:tblGrid>
      <w:tr w14:paraId="0A79E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89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8E207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Statistic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5DE429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Value</w:t>
            </w:r>
          </w:p>
        </w:tc>
        <w:tc>
          <w:tcPr>
            <w:tcW w:w="317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95E70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Statistic</w:t>
            </w:r>
          </w:p>
        </w:tc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30F11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iCs w:val="0"/>
                <w:sz w:val="21"/>
                <w:szCs w:val="21"/>
              </w:rPr>
              <w:t>Value</w:t>
            </w:r>
          </w:p>
        </w:tc>
      </w:tr>
      <w:tr w14:paraId="56F76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CF66EE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Standard deviation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2FC864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0.8288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C0DAAC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R²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642B7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0.9761</w:t>
            </w:r>
          </w:p>
        </w:tc>
      </w:tr>
      <w:tr w14:paraId="13DE9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510B88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Mean response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5D950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47.38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6D9655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Adjusted R²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FE91A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0.9454</w:t>
            </w:r>
          </w:p>
        </w:tc>
      </w:tr>
      <w:tr w14:paraId="07B8C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3307EA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Coefficient of variation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C6C82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1.75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E5D918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Predicted R²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68746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0.7550</w:t>
            </w:r>
          </w:p>
        </w:tc>
      </w:tr>
      <w:tr w14:paraId="76B89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401A67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Adequate precision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246C8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19.2623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B2E4EB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Predicted optimum EE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8A795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51.182</w:t>
            </w:r>
          </w:p>
        </w:tc>
      </w:tr>
      <w:tr w14:paraId="19BC8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6E1CA0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Experimental EE at practical optimum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9218D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51.48 ± 0.57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3E11C9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Relative deviation from predicted value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C1722B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z w:val="21"/>
                <w:szCs w:val="21"/>
              </w:rPr>
              <w:t>0.58</w:t>
            </w:r>
          </w:p>
        </w:tc>
      </w:tr>
    </w:tbl>
    <w:p w14:paraId="377765CF">
      <w:pPr>
        <w:spacing w:before="80" w:after="0"/>
        <w:rPr>
          <w:rFonts w:hint="default" w:ascii="Times New Roman" w:hAnsi="Times New Roman" w:cs="Times New Roman"/>
          <w:i w:val="0"/>
          <w:iCs w:val="0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i w:val="0"/>
          <w:iCs w:val="0"/>
          <w:sz w:val="21"/>
          <w:szCs w:val="21"/>
        </w:rPr>
        <w:t>Practical optimum: 0.12% anthocyanin, pectin proportion 0.825, and 2.6% total polysaccharides. Values are reported as mean ± SD for the validation experiment.</w:t>
      </w:r>
    </w:p>
    <w:sectPr>
      <w:footerReference r:id="rId5" w:type="default"/>
      <w:pgSz w:w="11906" w:h="16838"/>
      <w:pgMar w:top="1020" w:right="1020" w:bottom="964" w:left="1020" w:header="454" w:footer="45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AB42C">
    <w:pPr>
      <w:pStyle w:val="24"/>
      <w:jc w:val="center"/>
    </w:pPr>
    <w:r>
      <w:rPr>
        <w:rFonts w:ascii="Times New Roman" w:hAnsi="Times New Roman"/>
        <w:sz w:val="18"/>
      </w:rPr>
      <w:t>S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106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252" w:lineRule="auto"/>
    </w:pPr>
    <w:rPr>
      <w:rFonts w:ascii="Times New Roman" w:hAnsi="Times New Roman" w:eastAsia="Times New Roman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682</Words>
  <Characters>3673</Characters>
  <Lines>0</Lines>
  <Paragraphs>0</Paragraphs>
  <TotalTime>3</TotalTime>
  <ScaleCrop>false</ScaleCrop>
  <LinksUpToDate>false</LinksUpToDate>
  <CharactersWithSpaces>4104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Haomiao Liu et al.</dc:creator>
  <dc:description>generated by python-docx</dc:description>
  <cp:keywords>Supplementary information; Box-Behnken; response surface methodology; hydrogel beads; encapsulation efficiency</cp:keywords>
  <cp:lastModifiedBy>lhm</cp:lastModifiedBy>
  <dcterms:modified xsi:type="dcterms:W3CDTF">2026-07-26T11:36:00Z</dcterms:modified>
  <dc:subject>Response surface optimization of ASD-loaded pectin-alginate hydrogel beads</dc:subject>
  <dc:title>Supplementary Information - Response Surface Optimization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eyJoZGlkIjoiZDYxODUwZDllZTk5ZDhhYjhjMWQ3ZmE2OWM5N2VjZDYiLCJ1c2VySWQiOiIzMzQ0MDU2ODQifQ==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1B3463DBD97443E19D94AB4B441E813D_12</vt:lpwstr>
  </property>
</Properties>
</file>