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16BC" w:rsidRDefault="001816BC" w:rsidP="001816BC">
      <w:pPr>
        <w:spacing w:line="360" w:lineRule="auto"/>
        <w:jc w:val="both"/>
        <w:rPr>
          <w:rFonts w:ascii="Arial" w:hAnsi="Arial" w:cs="Arial"/>
        </w:rPr>
      </w:pPr>
    </w:p>
    <w:p w:rsidR="001816BC" w:rsidRPr="00531E70" w:rsidRDefault="001816BC" w:rsidP="001816BC">
      <w:pPr>
        <w:spacing w:line="360" w:lineRule="auto"/>
        <w:jc w:val="both"/>
        <w:rPr>
          <w:rFonts w:ascii="Arial" w:hAnsi="Arial" w:cs="Arial"/>
          <w:b/>
          <w:sz w:val="24"/>
        </w:rPr>
      </w:pPr>
      <w:r w:rsidRPr="00531E70">
        <w:rPr>
          <w:rFonts w:ascii="Arial" w:hAnsi="Arial" w:cs="Arial"/>
          <w:b/>
          <w:sz w:val="24"/>
        </w:rPr>
        <w:t>SUPPLEMENTAL MATERIAL</w:t>
      </w:r>
    </w:p>
    <w:p w:rsidR="001816BC" w:rsidRPr="007A4D7B" w:rsidRDefault="001816BC" w:rsidP="001816BC">
      <w:pPr>
        <w:spacing w:line="360" w:lineRule="auto"/>
        <w:jc w:val="both"/>
        <w:rPr>
          <w:rFonts w:ascii="Arial" w:hAnsi="Arial" w:cs="Arial"/>
          <w:b/>
          <w:sz w:val="24"/>
          <w:szCs w:val="36"/>
        </w:rPr>
      </w:pPr>
      <w:r w:rsidRPr="007A4D7B">
        <w:rPr>
          <w:rFonts w:ascii="Arial" w:hAnsi="Arial" w:cs="Arial"/>
          <w:b/>
          <w:sz w:val="24"/>
          <w:szCs w:val="36"/>
        </w:rPr>
        <w:t>Experimental procedures</w:t>
      </w:r>
    </w:p>
    <w:p w:rsidR="001816BC" w:rsidRDefault="001816BC" w:rsidP="001816BC">
      <w:pPr>
        <w:spacing w:line="360" w:lineRule="auto"/>
        <w:jc w:val="both"/>
        <w:rPr>
          <w:rFonts w:ascii="Arial" w:hAnsi="Arial" w:cs="Arial"/>
          <w:i/>
        </w:rPr>
      </w:pPr>
      <w:r w:rsidRPr="00BE7E4F">
        <w:rPr>
          <w:rFonts w:ascii="Arial" w:hAnsi="Arial" w:cs="Arial"/>
          <w:i/>
        </w:rPr>
        <w:t>Animal Experiments</w:t>
      </w:r>
    </w:p>
    <w:p w:rsidR="001816BC" w:rsidRDefault="001816BC" w:rsidP="001816BC">
      <w:pPr>
        <w:spacing w:line="360" w:lineRule="auto"/>
        <w:jc w:val="both"/>
        <w:rPr>
          <w:rFonts w:ascii="Arial" w:hAnsi="Arial" w:cs="Arial"/>
        </w:rPr>
      </w:pPr>
      <w:r w:rsidRPr="00BE7E4F">
        <w:rPr>
          <w:rFonts w:ascii="Arial" w:hAnsi="Arial" w:cs="Arial"/>
        </w:rPr>
        <w:t xml:space="preserve">A colony of the strain </w:t>
      </w:r>
      <w:r>
        <w:rPr>
          <w:rFonts w:ascii="Arial" w:hAnsi="Arial" w:cs="Arial"/>
        </w:rPr>
        <w:t xml:space="preserve">B6.Cg-Tg(SOD1*G93A)1Gur/J </w:t>
      </w:r>
      <w:r w:rsidRPr="00BE7E4F">
        <w:rPr>
          <w:rFonts w:ascii="Arial" w:hAnsi="Arial" w:cs="Arial"/>
        </w:rPr>
        <w:t xml:space="preserve">JAX catalogue stock number 004435; from now on hSOD1G93A or G93A) was purchased at The Jackson Laboratories (Bar Harbor, MN, USA). Mice were maintained in </w:t>
      </w:r>
      <w:r>
        <w:rPr>
          <w:rFonts w:ascii="Arial" w:hAnsi="Arial" w:cs="Arial"/>
        </w:rPr>
        <w:t xml:space="preserve">C57BL/6J </w:t>
      </w:r>
      <w:r w:rsidRPr="00BE7E4F">
        <w:rPr>
          <w:rFonts w:ascii="Arial" w:hAnsi="Arial" w:cs="Arial"/>
        </w:rPr>
        <w:t>background</w:t>
      </w:r>
      <w:r>
        <w:rPr>
          <w:rFonts w:ascii="Arial" w:hAnsi="Arial" w:cs="Arial"/>
        </w:rPr>
        <w:t>.</w:t>
      </w:r>
      <w:r w:rsidRPr="00BE7E4F">
        <w:rPr>
          <w:rFonts w:ascii="Arial" w:hAnsi="Arial" w:cs="Arial"/>
        </w:rPr>
        <w:t xml:space="preserve"> Genotyping was performed follow</w:t>
      </w:r>
      <w:r>
        <w:rPr>
          <w:rFonts w:ascii="Arial" w:hAnsi="Arial" w:cs="Arial"/>
        </w:rPr>
        <w:t>ing manufacturer’s instructions</w:t>
      </w:r>
      <w:r w:rsidRPr="00BE7E4F">
        <w:rPr>
          <w:rFonts w:ascii="Arial" w:hAnsi="Arial" w:cs="Arial"/>
        </w:rPr>
        <w:t>. After genotyping and weaning, animals were placed at 12:12 hours dark / light cycle, at 22±2°C temperature, 50%±10 relative humidity, in individual cages (at 21 days)</w:t>
      </w:r>
      <w:r>
        <w:rPr>
          <w:rFonts w:ascii="Arial" w:hAnsi="Arial" w:cs="Arial"/>
        </w:rPr>
        <w:t>. Navitoclax (</w:t>
      </w:r>
      <w:r w:rsidRPr="006127DF">
        <w:rPr>
          <w:rFonts w:ascii="Arial" w:hAnsi="Arial" w:cs="Arial"/>
        </w:rPr>
        <w:t>T2101</w:t>
      </w:r>
      <w:r>
        <w:rPr>
          <w:rFonts w:ascii="Arial" w:hAnsi="Arial" w:cs="Arial"/>
        </w:rPr>
        <w:t>, Targetmol) was diluted in 60% Phosal 50 PG (Lipoid), 30% PEG400</w:t>
      </w:r>
      <w:r w:rsidRPr="007F517D">
        <w:rPr>
          <w:rFonts w:ascii="Arial" w:hAnsi="Arial" w:cs="Arial"/>
        </w:rPr>
        <w:t xml:space="preserve"> </w:t>
      </w:r>
      <w:r>
        <w:rPr>
          <w:rFonts w:ascii="Arial" w:hAnsi="Arial" w:cs="Arial"/>
        </w:rPr>
        <w:t>(</w:t>
      </w:r>
      <w:r w:rsidRPr="007F517D">
        <w:rPr>
          <w:rFonts w:ascii="Arial" w:hAnsi="Arial" w:cs="Arial"/>
        </w:rPr>
        <w:t>Sigma</w:t>
      </w:r>
      <w:r>
        <w:rPr>
          <w:rFonts w:ascii="Arial" w:hAnsi="Arial" w:cs="Arial"/>
        </w:rPr>
        <w:t>, 91893) 10%</w:t>
      </w:r>
      <w:r w:rsidRPr="007F517D">
        <w:rPr>
          <w:rFonts w:ascii="Arial" w:hAnsi="Arial" w:cs="Arial"/>
        </w:rPr>
        <w:t xml:space="preserve"> EtOH. </w:t>
      </w:r>
      <w:r>
        <w:rPr>
          <w:rFonts w:ascii="Arial" w:hAnsi="Arial" w:cs="Arial"/>
        </w:rPr>
        <w:t>Navitoclax</w:t>
      </w:r>
      <w:r w:rsidRPr="007F517D">
        <w:rPr>
          <w:rFonts w:ascii="Arial" w:hAnsi="Arial" w:cs="Arial"/>
        </w:rPr>
        <w:t xml:space="preserve"> was administered by oral gavage at a dose of 50 mg kg–1 body </w:t>
      </w:r>
      <w:r>
        <w:rPr>
          <w:rFonts w:ascii="Arial" w:hAnsi="Arial" w:cs="Arial"/>
        </w:rPr>
        <w:t xml:space="preserve">during </w:t>
      </w:r>
      <w:r w:rsidRPr="007F517D">
        <w:rPr>
          <w:rFonts w:ascii="Arial" w:hAnsi="Arial" w:cs="Arial"/>
        </w:rPr>
        <w:t>five consecutive days followed by 16 days of rest</w:t>
      </w:r>
      <w:r>
        <w:rPr>
          <w:rFonts w:ascii="Arial" w:hAnsi="Arial" w:cs="Arial"/>
        </w:rPr>
        <w:t xml:space="preserve"> (N= 5 per group). Treatment cycles were repeated until clinical endpoint (</w:t>
      </w:r>
      <w:r w:rsidRPr="006127DF">
        <w:rPr>
          <w:rFonts w:ascii="Arial" w:hAnsi="Arial" w:cs="Arial"/>
        </w:rPr>
        <w:t>righting reflex &gt;20 s</w:t>
      </w:r>
      <w:r>
        <w:rPr>
          <w:rFonts w:ascii="Arial" w:hAnsi="Arial" w:cs="Arial"/>
        </w:rPr>
        <w:t xml:space="preserve">). </w:t>
      </w:r>
      <w:r w:rsidRPr="00BE7E4F">
        <w:rPr>
          <w:rFonts w:ascii="Arial" w:hAnsi="Arial" w:cs="Arial"/>
        </w:rPr>
        <w:t xml:space="preserve">Spinal cords </w:t>
      </w:r>
      <w:r>
        <w:rPr>
          <w:rFonts w:ascii="Arial" w:hAnsi="Arial" w:cs="Arial"/>
        </w:rPr>
        <w:t xml:space="preserve">and sciatic nerves </w:t>
      </w:r>
      <w:r w:rsidRPr="00BE7E4F">
        <w:rPr>
          <w:rFonts w:ascii="Arial" w:hAnsi="Arial" w:cs="Arial"/>
        </w:rPr>
        <w:t>were rapidly excised, frozen in liquid N</w:t>
      </w:r>
      <w:r w:rsidRPr="00BE7E4F">
        <w:rPr>
          <w:rFonts w:ascii="Arial" w:hAnsi="Arial" w:cs="Arial"/>
          <w:vertAlign w:val="subscript"/>
        </w:rPr>
        <w:t>2</w:t>
      </w:r>
      <w:r w:rsidRPr="00BE7E4F">
        <w:rPr>
          <w:rFonts w:ascii="Arial" w:hAnsi="Arial" w:cs="Arial"/>
        </w:rPr>
        <w:t xml:space="preserve"> and stored at -80 ̊C.</w:t>
      </w:r>
      <w:r>
        <w:rPr>
          <w:rFonts w:ascii="Arial" w:hAnsi="Arial" w:cs="Arial"/>
        </w:rPr>
        <w:t xml:space="preserve"> </w:t>
      </w:r>
      <w:r w:rsidRPr="00BE7E4F">
        <w:rPr>
          <w:rFonts w:ascii="Arial" w:hAnsi="Arial" w:cs="Arial"/>
        </w:rPr>
        <w:t xml:space="preserve">This study was approved by the </w:t>
      </w:r>
      <w:r>
        <w:rPr>
          <w:rFonts w:ascii="Arial" w:hAnsi="Arial" w:cs="Arial"/>
        </w:rPr>
        <w:t>Animal</w:t>
      </w:r>
      <w:r w:rsidRPr="00BE7E4F">
        <w:rPr>
          <w:rFonts w:ascii="Arial" w:hAnsi="Arial" w:cs="Arial"/>
        </w:rPr>
        <w:t xml:space="preserve"> Research and Ethics Committee at the University of </w:t>
      </w:r>
      <w:r>
        <w:rPr>
          <w:rFonts w:ascii="Arial" w:hAnsi="Arial" w:cs="Arial"/>
        </w:rPr>
        <w:t>Lleida.</w:t>
      </w:r>
    </w:p>
    <w:p w:rsidR="001816BC" w:rsidRPr="00164C3A" w:rsidRDefault="001816BC" w:rsidP="001816BC">
      <w:pPr>
        <w:spacing w:line="360" w:lineRule="auto"/>
        <w:jc w:val="both"/>
        <w:rPr>
          <w:rFonts w:ascii="Arial" w:hAnsi="Arial" w:cs="Arial"/>
          <w:i/>
          <w:iCs/>
        </w:rPr>
      </w:pPr>
      <w:r w:rsidRPr="00164C3A">
        <w:rPr>
          <w:rFonts w:ascii="Arial" w:hAnsi="Arial" w:cs="Arial"/>
          <w:i/>
          <w:iCs/>
        </w:rPr>
        <w:t>Cell culture</w:t>
      </w:r>
    </w:p>
    <w:p w:rsidR="001816BC" w:rsidRDefault="001816BC" w:rsidP="001816BC">
      <w:pPr>
        <w:spacing w:line="360" w:lineRule="auto"/>
        <w:jc w:val="both"/>
        <w:rPr>
          <w:rFonts w:ascii="Arial" w:hAnsi="Arial" w:cs="Arial"/>
        </w:rPr>
      </w:pPr>
      <w:r w:rsidRPr="00FD69CE">
        <w:rPr>
          <w:rFonts w:ascii="Arial" w:hAnsi="Arial" w:cs="Arial"/>
        </w:rPr>
        <w:t>3T3 cells were maintained in Dulbecco</w:t>
      </w:r>
      <w:r>
        <w:rPr>
          <w:rFonts w:ascii="Arial" w:hAnsi="Arial" w:cs="Arial"/>
        </w:rPr>
        <w:t>’</w:t>
      </w:r>
      <w:r w:rsidRPr="00FD69CE">
        <w:rPr>
          <w:rFonts w:ascii="Arial" w:hAnsi="Arial" w:cs="Arial"/>
        </w:rPr>
        <w:t>s Modified Eagle</w:t>
      </w:r>
      <w:r>
        <w:rPr>
          <w:rFonts w:ascii="Arial" w:hAnsi="Arial" w:cs="Arial"/>
        </w:rPr>
        <w:t>’</w:t>
      </w:r>
      <w:r w:rsidRPr="00FD69CE">
        <w:rPr>
          <w:rFonts w:ascii="Arial" w:hAnsi="Arial" w:cs="Arial"/>
        </w:rPr>
        <w:t>s Medium (11965, Thermo Fisher Scientific), 10% FBS (10270, Thermo Fisher Scientific), 100 U/ml Penicillin-Streptomycin (15140-122, Thermo Fisher Scientific) at 37</w:t>
      </w:r>
      <w:r w:rsidRPr="00FD69CE">
        <w:rPr>
          <w:rFonts w:ascii="Cambria Math" w:hAnsi="Cambria Math" w:cs="Cambria Math"/>
        </w:rPr>
        <w:t>℃</w:t>
      </w:r>
      <w:r w:rsidRPr="00FD69CE">
        <w:rPr>
          <w:rFonts w:ascii="Arial" w:hAnsi="Arial" w:cs="Arial"/>
        </w:rPr>
        <w:t xml:space="preserve"> and 5% CO2. </w:t>
      </w:r>
      <w:r>
        <w:rPr>
          <w:rFonts w:ascii="Arial" w:hAnsi="Arial" w:cs="Arial"/>
        </w:rPr>
        <w:t>F</w:t>
      </w:r>
      <w:r w:rsidRPr="00FD69CE">
        <w:rPr>
          <w:rFonts w:ascii="Arial" w:hAnsi="Arial" w:cs="Arial"/>
        </w:rPr>
        <w:t>or silencing</w:t>
      </w:r>
      <w:r>
        <w:rPr>
          <w:rFonts w:ascii="Arial" w:hAnsi="Arial" w:cs="Arial"/>
        </w:rPr>
        <w:t xml:space="preserve">, </w:t>
      </w:r>
      <w:r w:rsidRPr="00FD69CE">
        <w:rPr>
          <w:rFonts w:ascii="Arial" w:hAnsi="Arial" w:cs="Arial"/>
        </w:rPr>
        <w:t xml:space="preserve">20 nM (final concentration) of </w:t>
      </w:r>
      <w:r w:rsidRPr="00FD69CE">
        <w:rPr>
          <w:rFonts w:ascii="Arial" w:hAnsi="Arial" w:cs="Arial"/>
          <w:i/>
          <w:iCs/>
        </w:rPr>
        <w:t>TARDBP</w:t>
      </w:r>
      <w:r w:rsidRPr="00FD69CE">
        <w:rPr>
          <w:rFonts w:ascii="Arial" w:hAnsi="Arial" w:cs="Arial"/>
        </w:rPr>
        <w:t xml:space="preserve"> siRNA mmsiTDP-43s: 5′-AGGAAUCAGCGUGCAUAUA-3′ mmsiTDP-43as: 5′-UAUAUGCACGCUGAUUCCU-3′ </w:t>
      </w:r>
      <w:r>
        <w:rPr>
          <w:rFonts w:ascii="Arial" w:hAnsi="Arial" w:cs="Arial"/>
        </w:rPr>
        <w:t xml:space="preserve">(siTDP) </w:t>
      </w:r>
      <w:r w:rsidRPr="00FD69CE">
        <w:rPr>
          <w:rFonts w:ascii="Arial" w:hAnsi="Arial" w:cs="Arial"/>
        </w:rPr>
        <w:t>or scrambled siRNA</w:t>
      </w:r>
      <w:r>
        <w:rPr>
          <w:rFonts w:ascii="Arial" w:hAnsi="Arial" w:cs="Arial"/>
        </w:rPr>
        <w:t xml:space="preserve"> (siCTL)</w:t>
      </w:r>
      <w:r w:rsidRPr="00FD69CE">
        <w:rPr>
          <w:rFonts w:ascii="Arial" w:hAnsi="Arial" w:cs="Arial"/>
        </w:rPr>
        <w:t xml:space="preserve"> was mixed in 100 µl Opti-MEM (31985062, Thermo Fisher Scientific)  </w:t>
      </w:r>
      <w:r>
        <w:rPr>
          <w:rFonts w:ascii="Arial" w:hAnsi="Arial" w:cs="Arial"/>
        </w:rPr>
        <w:t xml:space="preserve">with </w:t>
      </w:r>
      <w:r w:rsidRPr="00FD69CE">
        <w:rPr>
          <w:rFonts w:ascii="Arial" w:hAnsi="Arial" w:cs="Arial"/>
        </w:rPr>
        <w:t xml:space="preserve">2 µl of RNAiMAX (13778100, Thermo Fisher Scientific) </w:t>
      </w:r>
      <w:r>
        <w:rPr>
          <w:rFonts w:ascii="Arial" w:hAnsi="Arial" w:cs="Arial"/>
        </w:rPr>
        <w:t>on the bottom of the well and incubated</w:t>
      </w:r>
      <w:r w:rsidRPr="00FD69CE">
        <w:rPr>
          <w:rFonts w:ascii="Arial" w:hAnsi="Arial" w:cs="Arial"/>
        </w:rPr>
        <w:t xml:space="preserve"> for 20 minutes at room temperature. 2 ml of DMEM (11965092, Thermo Fisher Scientific) supplemented with 10% FBS containing 100000 HeLa or 3T3 cells/well were seeded onto </w:t>
      </w:r>
      <w:r>
        <w:rPr>
          <w:rFonts w:ascii="Arial" w:hAnsi="Arial" w:cs="Arial"/>
        </w:rPr>
        <w:t>transfection mix</w:t>
      </w:r>
      <w:r w:rsidRPr="00FD69CE">
        <w:rPr>
          <w:rFonts w:ascii="Arial" w:hAnsi="Arial" w:cs="Arial"/>
        </w:rPr>
        <w:t>. After 24 hours, transfection media was removed and changed to DMEM 10% FBS media. 48 hours post-transfection, cells were collected for posterior analyses.</w:t>
      </w:r>
    </w:p>
    <w:p w:rsidR="00531E70" w:rsidRDefault="00531E70" w:rsidP="001816BC">
      <w:pPr>
        <w:spacing w:line="360" w:lineRule="auto"/>
        <w:jc w:val="both"/>
        <w:rPr>
          <w:rFonts w:ascii="Arial" w:hAnsi="Arial" w:cs="Arial"/>
        </w:rPr>
      </w:pPr>
    </w:p>
    <w:p w:rsidR="00531E70" w:rsidRDefault="00531E70" w:rsidP="001816BC">
      <w:pPr>
        <w:spacing w:line="360" w:lineRule="auto"/>
        <w:jc w:val="both"/>
        <w:rPr>
          <w:rFonts w:ascii="Arial" w:hAnsi="Arial" w:cs="Arial"/>
        </w:rPr>
      </w:pPr>
    </w:p>
    <w:p w:rsidR="001816BC" w:rsidRDefault="001816BC" w:rsidP="001816BC">
      <w:pPr>
        <w:spacing w:line="360" w:lineRule="auto"/>
        <w:jc w:val="both"/>
        <w:rPr>
          <w:rFonts w:ascii="Arial" w:hAnsi="Arial" w:cs="Arial"/>
          <w:i/>
          <w:iCs/>
        </w:rPr>
      </w:pPr>
      <w:r w:rsidRPr="0017777C">
        <w:rPr>
          <w:rFonts w:ascii="Arial" w:hAnsi="Arial" w:cs="Arial"/>
          <w:i/>
          <w:iCs/>
        </w:rPr>
        <w:lastRenderedPageBreak/>
        <w:t>Western Blot</w:t>
      </w:r>
    </w:p>
    <w:p w:rsidR="001816BC" w:rsidRDefault="001816BC" w:rsidP="001816BC">
      <w:pPr>
        <w:spacing w:line="360" w:lineRule="auto"/>
        <w:jc w:val="both"/>
        <w:rPr>
          <w:rFonts w:ascii="Arial" w:hAnsi="Arial" w:cs="Arial"/>
        </w:rPr>
      </w:pPr>
      <w:r w:rsidRPr="00992566">
        <w:rPr>
          <w:rFonts w:ascii="Arial" w:hAnsi="Arial" w:cs="Arial"/>
          <w:lang w:val="en-GB"/>
        </w:rPr>
        <w:t xml:space="preserve">Protein from platelets was extracted adding 100 µL of radioimmunoprecipitation (RIPA) buffer with Protease Inhibitor Cocktail (1X) to the pellet. After sonication, protein quantification was performed with Bradford assay (5000006, Bio-Rad). Fifteen μg of protein were loaded onto a 12% acrylamide SDS-PAGE gel. Membranes were blocked with I-Block (T2015, Thermo Fisher Scientific) for 1 hour and incubated overnight with </w:t>
      </w:r>
      <w:r>
        <w:rPr>
          <w:rFonts w:ascii="Arial" w:hAnsi="Arial" w:cs="Arial"/>
        </w:rPr>
        <w:t>primary incubated</w:t>
      </w:r>
      <w:r>
        <w:rPr>
          <w:rFonts w:ascii="Arial" w:hAnsi="Arial" w:cs="Arial"/>
          <w:lang w:val="en-GB"/>
        </w:rPr>
        <w:t xml:space="preserve"> anti-TDP-43 (</w:t>
      </w:r>
      <w:r w:rsidRPr="006360A8">
        <w:rPr>
          <w:rFonts w:ascii="Arial" w:hAnsi="Arial" w:cs="Arial"/>
          <w:lang w:val="en-GB"/>
        </w:rPr>
        <w:t>10782–2-AP</w:t>
      </w:r>
      <w:r>
        <w:rPr>
          <w:rFonts w:ascii="Arial" w:hAnsi="Arial" w:cs="Arial"/>
          <w:lang w:val="en-GB"/>
        </w:rPr>
        <w:t>, Proteintech) 1:1000</w:t>
      </w:r>
      <w:r w:rsidRPr="006360A8">
        <w:rPr>
          <w:rFonts w:ascii="Arial" w:hAnsi="Arial" w:cs="Arial"/>
          <w:lang w:val="en-GB"/>
        </w:rPr>
        <w:t xml:space="preserve"> </w:t>
      </w:r>
      <w:r w:rsidRPr="00992566">
        <w:rPr>
          <w:rFonts w:ascii="Arial" w:hAnsi="Arial" w:cs="Arial"/>
          <w:lang w:val="en-GB"/>
        </w:rPr>
        <w:t>in TBS-T 0.05%. After primary antibody incubation, membranes were washed 3 times with TBS-T 0.05% and incubated with secondary antibody for 1h. Immobilon™ Western Chemiluminiscent HRP Substrate (WBKLS0500, Merck Millipore) was used for immunodetection. Membranes were stained with Coomassie Brilliant Blue G (27815, Sigma) for normalization. Specific bands were quantified with ImageLab v5.2.1 (Bio-Rad).</w:t>
      </w:r>
      <w:r>
        <w:rPr>
          <w:rFonts w:ascii="Arial" w:hAnsi="Arial" w:cs="Arial"/>
        </w:rPr>
        <w:t xml:space="preserve"> </w:t>
      </w:r>
    </w:p>
    <w:p w:rsidR="001816BC" w:rsidRPr="006360A8" w:rsidRDefault="001816BC" w:rsidP="001816BC">
      <w:pPr>
        <w:spacing w:line="360" w:lineRule="auto"/>
        <w:jc w:val="both"/>
        <w:rPr>
          <w:rFonts w:ascii="Arial" w:hAnsi="Arial" w:cs="Arial"/>
        </w:rPr>
      </w:pPr>
    </w:p>
    <w:p w:rsidR="001816BC" w:rsidRDefault="001816BC" w:rsidP="001816BC">
      <w:pPr>
        <w:spacing w:line="360" w:lineRule="auto"/>
        <w:jc w:val="both"/>
        <w:rPr>
          <w:rFonts w:ascii="Arial" w:hAnsi="Arial" w:cs="Arial"/>
          <w:i/>
        </w:rPr>
      </w:pPr>
      <w:r>
        <w:rPr>
          <w:rFonts w:ascii="Arial" w:hAnsi="Arial" w:cs="Arial"/>
          <w:i/>
        </w:rPr>
        <w:t xml:space="preserve">RNA extraction, </w:t>
      </w:r>
      <w:r w:rsidRPr="000D71AF">
        <w:rPr>
          <w:rFonts w:ascii="Arial" w:hAnsi="Arial" w:cs="Arial"/>
          <w:i/>
        </w:rPr>
        <w:t>cDNA synthesis</w:t>
      </w:r>
      <w:r>
        <w:rPr>
          <w:rFonts w:ascii="Arial" w:hAnsi="Arial" w:cs="Arial"/>
          <w:i/>
        </w:rPr>
        <w:t xml:space="preserve"> and RT-qPCR</w:t>
      </w:r>
    </w:p>
    <w:p w:rsidR="001816BC" w:rsidRPr="00395293" w:rsidRDefault="001816BC" w:rsidP="001816BC">
      <w:pPr>
        <w:spacing w:line="360" w:lineRule="auto"/>
        <w:jc w:val="both"/>
        <w:rPr>
          <w:rFonts w:ascii="Arial" w:hAnsi="Arial" w:cs="Arial"/>
        </w:rPr>
      </w:pPr>
      <w:r>
        <w:rPr>
          <w:rFonts w:ascii="Arial" w:hAnsi="Arial" w:cs="Arial"/>
        </w:rPr>
        <w:t xml:space="preserve">1 ml of TRIzol reagent (Thermo Fisher </w:t>
      </w:r>
      <w:r w:rsidRPr="00F81AA5">
        <w:rPr>
          <w:rFonts w:ascii="Arial" w:hAnsi="Arial" w:cs="Arial"/>
        </w:rPr>
        <w:t>Scientific</w:t>
      </w:r>
      <w:r>
        <w:rPr>
          <w:rFonts w:ascii="Arial" w:hAnsi="Arial" w:cs="Arial"/>
        </w:rPr>
        <w:t>,</w:t>
      </w:r>
      <w:r w:rsidRPr="00F81AA5">
        <w:rPr>
          <w:rFonts w:ascii="Arial" w:hAnsi="Arial" w:cs="Arial"/>
        </w:rPr>
        <w:t xml:space="preserve"> </w:t>
      </w:r>
      <w:r>
        <w:rPr>
          <w:rFonts w:ascii="Arial" w:hAnsi="Arial" w:cs="Arial"/>
        </w:rPr>
        <w:t>AM9738</w:t>
      </w:r>
      <w:r w:rsidRPr="00F81AA5">
        <w:rPr>
          <w:rFonts w:ascii="Arial" w:hAnsi="Arial" w:cs="Arial"/>
        </w:rPr>
        <w:t xml:space="preserve">) </w:t>
      </w:r>
      <w:r>
        <w:rPr>
          <w:rFonts w:ascii="Arial" w:hAnsi="Arial" w:cs="Arial"/>
        </w:rPr>
        <w:t xml:space="preserve">was added to 50-100 mg of tissue. The tissue was then mechanically homogenized using </w:t>
      </w:r>
      <w:r w:rsidRPr="00120708">
        <w:rPr>
          <w:rFonts w:ascii="Arial" w:hAnsi="Arial" w:cs="Arial"/>
        </w:rPr>
        <w:t>T 10 basic ULTRA-TURRAX®</w:t>
      </w:r>
      <w:r>
        <w:rPr>
          <w:rFonts w:ascii="Arial" w:hAnsi="Arial" w:cs="Arial"/>
        </w:rPr>
        <w:t xml:space="preserve"> (IKA). 200</w:t>
      </w:r>
      <w:r w:rsidRPr="00B5122B">
        <w:t xml:space="preserve"> </w:t>
      </w:r>
      <w:r>
        <w:rPr>
          <w:rFonts w:ascii="Arial" w:hAnsi="Arial" w:cs="Arial"/>
        </w:rPr>
        <w:t xml:space="preserve">µl of chloroform was added to each sample and mixed. After 5 minutes of incubation at room temperature, </w:t>
      </w:r>
      <w:r w:rsidRPr="00B5122B">
        <w:rPr>
          <w:rFonts w:ascii="Arial" w:hAnsi="Arial" w:cs="Arial"/>
        </w:rPr>
        <w:t xml:space="preserve">the samples </w:t>
      </w:r>
      <w:r>
        <w:rPr>
          <w:rFonts w:ascii="Arial" w:hAnsi="Arial" w:cs="Arial"/>
        </w:rPr>
        <w:t>were centrifuged</w:t>
      </w:r>
      <w:r w:rsidRPr="00B5122B">
        <w:rPr>
          <w:rFonts w:ascii="Arial" w:hAnsi="Arial" w:cs="Arial"/>
        </w:rPr>
        <w:t xml:space="preserve"> at 12,000 xg (15 mins, 4°C) to </w:t>
      </w:r>
      <w:r>
        <w:rPr>
          <w:rFonts w:ascii="Arial" w:hAnsi="Arial" w:cs="Arial"/>
        </w:rPr>
        <w:t xml:space="preserve">separate the phases. The aqueous phase was separated into a new tub and mixed by vortexing with 500 </w:t>
      </w:r>
      <w:bookmarkStart w:id="0" w:name="OLE_LINK1"/>
      <w:r>
        <w:rPr>
          <w:rFonts w:ascii="Arial" w:hAnsi="Arial" w:cs="Arial"/>
        </w:rPr>
        <w:t>µl</w:t>
      </w:r>
      <w:bookmarkEnd w:id="0"/>
      <w:r>
        <w:rPr>
          <w:rFonts w:ascii="Arial" w:hAnsi="Arial" w:cs="Arial"/>
        </w:rPr>
        <w:t xml:space="preserve"> of isopropanol. After an incubation of 10 minutes at room temperature, RNA was precipitated through spun at 12,000 xg (10</w:t>
      </w:r>
      <w:r w:rsidRPr="00B5122B">
        <w:rPr>
          <w:rFonts w:ascii="Arial" w:hAnsi="Arial" w:cs="Arial"/>
        </w:rPr>
        <w:t xml:space="preserve"> mins, 4°C)</w:t>
      </w:r>
      <w:r>
        <w:rPr>
          <w:rFonts w:ascii="Arial" w:hAnsi="Arial" w:cs="Arial"/>
        </w:rPr>
        <w:t>. The resulting supernatant was removed, and the pellet was washed with a 75% ethanol. After vortexing, the samples were centrifuged again at 12,000 xg (10</w:t>
      </w:r>
      <w:r w:rsidRPr="00B5122B">
        <w:rPr>
          <w:rFonts w:ascii="Arial" w:hAnsi="Arial" w:cs="Arial"/>
        </w:rPr>
        <w:t xml:space="preserve"> mins, 4°C)</w:t>
      </w:r>
      <w:r>
        <w:rPr>
          <w:rFonts w:ascii="Arial" w:hAnsi="Arial" w:cs="Arial"/>
        </w:rPr>
        <w:t>. The supernatant was discarded, and the RNA pellet was allowed to air dry at room temperature. The RNA was resuspended with 50 µl of RNAse-free water, quantified with Nanodrop (Nanodrop technologies, ND-1000 UV/Vis Spectofotometer) and stored at -80</w:t>
      </w:r>
      <w:r w:rsidRPr="00395293">
        <w:rPr>
          <w:rFonts w:ascii="Arial" w:hAnsi="Arial" w:cs="Arial"/>
        </w:rPr>
        <w:t>°C</w:t>
      </w:r>
      <w:r>
        <w:rPr>
          <w:rFonts w:ascii="Arial" w:hAnsi="Arial" w:cs="Arial"/>
        </w:rPr>
        <w:t xml:space="preserve"> until further use. </w:t>
      </w:r>
      <w:r w:rsidRPr="00F81AA5">
        <w:rPr>
          <w:rFonts w:ascii="Arial" w:hAnsi="Arial" w:cs="Arial"/>
        </w:rPr>
        <w:t>One microgram of RNA was used for retr</w:t>
      </w:r>
      <w:r>
        <w:rPr>
          <w:rFonts w:ascii="Arial" w:hAnsi="Arial" w:cs="Arial"/>
        </w:rPr>
        <w:t xml:space="preserve">otranscription employing TaqMan </w:t>
      </w:r>
      <w:r w:rsidRPr="00F81AA5">
        <w:rPr>
          <w:rFonts w:ascii="Arial" w:hAnsi="Arial" w:cs="Arial"/>
        </w:rPr>
        <w:t xml:space="preserve">Reverse Transcription Reagent </w:t>
      </w:r>
      <w:r>
        <w:rPr>
          <w:rFonts w:ascii="Arial" w:hAnsi="Arial" w:cs="Arial"/>
        </w:rPr>
        <w:t>using random hexamers (</w:t>
      </w:r>
      <w:r w:rsidRPr="00F81AA5">
        <w:rPr>
          <w:rFonts w:ascii="Arial" w:hAnsi="Arial" w:cs="Arial"/>
        </w:rPr>
        <w:t>Thermo Scientific</w:t>
      </w:r>
      <w:r>
        <w:rPr>
          <w:rFonts w:ascii="Arial" w:hAnsi="Arial" w:cs="Arial"/>
        </w:rPr>
        <w:t>,</w:t>
      </w:r>
      <w:r w:rsidRPr="00F81AA5">
        <w:rPr>
          <w:rFonts w:ascii="Arial" w:hAnsi="Arial" w:cs="Arial"/>
        </w:rPr>
        <w:t xml:space="preserve"> </w:t>
      </w:r>
      <w:r>
        <w:rPr>
          <w:rFonts w:ascii="Arial" w:hAnsi="Arial" w:cs="Arial"/>
        </w:rPr>
        <w:t xml:space="preserve">N8080234). RT-qPCR </w:t>
      </w:r>
      <w:r w:rsidRPr="00F81AA5">
        <w:rPr>
          <w:rFonts w:ascii="Arial" w:hAnsi="Arial" w:cs="Arial"/>
        </w:rPr>
        <w:t xml:space="preserve">experimets were performed using a CFX96 instrument (Bio-Rad, </w:t>
      </w:r>
      <w:r>
        <w:rPr>
          <w:rFonts w:ascii="Arial" w:hAnsi="Arial" w:cs="Arial"/>
        </w:rPr>
        <w:t xml:space="preserve">Hercules, California, USA) with </w:t>
      </w:r>
      <w:r w:rsidRPr="00F81AA5">
        <w:rPr>
          <w:rFonts w:ascii="Arial" w:hAnsi="Arial" w:cs="Arial"/>
        </w:rPr>
        <w:t>SYBR select Master mix (Thermo Fisher Scientific</w:t>
      </w:r>
      <w:r>
        <w:rPr>
          <w:rFonts w:ascii="Arial" w:hAnsi="Arial" w:cs="Arial"/>
        </w:rPr>
        <w:t>,</w:t>
      </w:r>
      <w:r w:rsidRPr="00F81AA5">
        <w:rPr>
          <w:rFonts w:ascii="Arial" w:hAnsi="Arial" w:cs="Arial"/>
        </w:rPr>
        <w:t xml:space="preserve"> </w:t>
      </w:r>
      <w:r>
        <w:rPr>
          <w:rFonts w:ascii="Arial" w:hAnsi="Arial" w:cs="Arial"/>
        </w:rPr>
        <w:t>4472908</w:t>
      </w:r>
      <w:r w:rsidRPr="00F81AA5">
        <w:rPr>
          <w:rFonts w:ascii="Arial" w:hAnsi="Arial" w:cs="Arial"/>
        </w:rPr>
        <w:t xml:space="preserve">). Each 20 µL of </w:t>
      </w:r>
      <w:r>
        <w:rPr>
          <w:rFonts w:ascii="Arial" w:hAnsi="Arial" w:cs="Arial"/>
        </w:rPr>
        <w:t>reaction contained 4µL cDNA, 10 µL SYBR S</w:t>
      </w:r>
      <w:r w:rsidRPr="00F81AA5">
        <w:rPr>
          <w:rFonts w:ascii="Arial" w:hAnsi="Arial" w:cs="Arial"/>
        </w:rPr>
        <w:t>elect Master Mix, 0.2 nM of forwa</w:t>
      </w:r>
      <w:r>
        <w:rPr>
          <w:rFonts w:ascii="Arial" w:hAnsi="Arial" w:cs="Arial"/>
        </w:rPr>
        <w:t xml:space="preserve">rd primer and 0.2 nM of reverse </w:t>
      </w:r>
      <w:r w:rsidRPr="00F81AA5">
        <w:rPr>
          <w:rFonts w:ascii="Arial" w:hAnsi="Arial" w:cs="Arial"/>
        </w:rPr>
        <w:t>primer solutions and 4 µL PCR grade water.</w:t>
      </w:r>
      <w:r>
        <w:rPr>
          <w:rFonts w:ascii="Arial" w:hAnsi="Arial" w:cs="Arial"/>
        </w:rPr>
        <w:t xml:space="preserve"> </w:t>
      </w:r>
      <w:r w:rsidRPr="00F81AA5">
        <w:rPr>
          <w:rFonts w:ascii="Arial" w:hAnsi="Arial" w:cs="Arial"/>
        </w:rPr>
        <w:t xml:space="preserve">RT-qPCR run protocol was as follows: 50 °C for 2 minutes and </w:t>
      </w:r>
      <w:r w:rsidRPr="00F81AA5">
        <w:rPr>
          <w:rFonts w:ascii="Arial" w:hAnsi="Arial" w:cs="Arial"/>
        </w:rPr>
        <w:lastRenderedPageBreak/>
        <w:t>95 °C for 2 minutes, with the 95 °C for 15 seconds and 60 °C  for 1 minute steps repeated for 40 cycles; and a melting curve test from 65°C to 95 °C at a 0.1 °C/s measuring rate.</w:t>
      </w:r>
      <w:r>
        <w:rPr>
          <w:rFonts w:ascii="Arial" w:hAnsi="Arial" w:cs="Arial"/>
        </w:rPr>
        <w:t xml:space="preserve"> N=3-10 mice per group were used for RT-PCR experiments. Primers employed in these experiments are listed in Supplementary Table S1. </w:t>
      </w:r>
      <w:r w:rsidRPr="00395293">
        <w:rPr>
          <w:rFonts w:ascii="Arial" w:hAnsi="Arial" w:cs="Arial"/>
          <w:i/>
        </w:rPr>
        <w:t>Actb</w:t>
      </w:r>
      <w:r>
        <w:rPr>
          <w:rFonts w:ascii="Arial" w:hAnsi="Arial" w:cs="Arial"/>
        </w:rPr>
        <w:t xml:space="preserve"> expression was used as housekeeping to normalize the other genes. Specific </w:t>
      </w:r>
      <w:r w:rsidRPr="00395293">
        <w:rPr>
          <w:rFonts w:ascii="Arial" w:hAnsi="Arial" w:cs="Arial"/>
          <w:i/>
        </w:rPr>
        <w:t>Adipor2</w:t>
      </w:r>
      <w:r>
        <w:rPr>
          <w:rFonts w:ascii="Arial" w:hAnsi="Arial" w:cs="Arial"/>
          <w:i/>
        </w:rPr>
        <w:t xml:space="preserve"> cryptic </w:t>
      </w:r>
      <w:r>
        <w:rPr>
          <w:rFonts w:ascii="Arial" w:hAnsi="Arial" w:cs="Arial"/>
        </w:rPr>
        <w:t xml:space="preserve">mRNA (primers annealed with cryptic exon) was normalized with </w:t>
      </w:r>
      <w:r w:rsidRPr="00395293">
        <w:rPr>
          <w:rFonts w:ascii="Arial" w:hAnsi="Arial" w:cs="Arial"/>
          <w:i/>
        </w:rPr>
        <w:t>Adipor2</w:t>
      </w:r>
      <w:r>
        <w:rPr>
          <w:rFonts w:ascii="Arial" w:hAnsi="Arial" w:cs="Arial"/>
          <w:i/>
        </w:rPr>
        <w:t xml:space="preserve"> </w:t>
      </w:r>
      <w:r>
        <w:rPr>
          <w:rFonts w:ascii="Arial" w:hAnsi="Arial" w:cs="Arial"/>
        </w:rPr>
        <w:t xml:space="preserve">normal transcript (the primers annealed with conserved exons). </w:t>
      </w:r>
    </w:p>
    <w:p w:rsidR="001816BC" w:rsidRPr="00F11849" w:rsidRDefault="001816BC" w:rsidP="001816BC">
      <w:pPr>
        <w:spacing w:line="360" w:lineRule="auto"/>
        <w:jc w:val="both"/>
        <w:rPr>
          <w:rFonts w:ascii="Arial" w:hAnsi="Arial" w:cs="Arial"/>
          <w:i/>
        </w:rPr>
      </w:pPr>
      <w:r w:rsidRPr="00F11849">
        <w:rPr>
          <w:rFonts w:ascii="Arial" w:hAnsi="Arial" w:cs="Arial"/>
          <w:i/>
        </w:rPr>
        <w:t>Senescence-associated β-galactosidase activity</w:t>
      </w:r>
    </w:p>
    <w:p w:rsidR="001816BC" w:rsidRDefault="001816BC" w:rsidP="001816BC">
      <w:pPr>
        <w:spacing w:line="360" w:lineRule="auto"/>
        <w:jc w:val="both"/>
        <w:rPr>
          <w:rFonts w:ascii="Arial" w:hAnsi="Arial" w:cs="Arial"/>
        </w:rPr>
      </w:pPr>
      <w:r w:rsidRPr="00F11849">
        <w:rPr>
          <w:rFonts w:ascii="Arial" w:hAnsi="Arial" w:cs="Arial"/>
        </w:rPr>
        <w:t>Briefly, paraformaldehyde-fixed frozen sections were incubated with X-gal solution (20 mg/ml X-Gal (</w:t>
      </w:r>
      <w:r>
        <w:rPr>
          <w:rFonts w:ascii="Arial" w:hAnsi="Arial" w:cs="Arial"/>
        </w:rPr>
        <w:t>SIGMA</w:t>
      </w:r>
      <w:r w:rsidRPr="00F11849">
        <w:rPr>
          <w:rFonts w:ascii="Arial" w:hAnsi="Arial" w:cs="Arial"/>
        </w:rPr>
        <w:t>), 5 mM K</w:t>
      </w:r>
      <w:r w:rsidRPr="00E00FAC">
        <w:rPr>
          <w:rFonts w:ascii="Arial" w:hAnsi="Arial" w:cs="Arial"/>
          <w:vertAlign w:val="subscript"/>
        </w:rPr>
        <w:t>3</w:t>
      </w:r>
      <w:r w:rsidRPr="00F11849">
        <w:rPr>
          <w:rFonts w:ascii="Arial" w:hAnsi="Arial" w:cs="Arial"/>
        </w:rPr>
        <w:t>Fe(CN)</w:t>
      </w:r>
      <w:r w:rsidRPr="00E00FAC">
        <w:rPr>
          <w:rFonts w:ascii="Arial" w:hAnsi="Arial" w:cs="Arial"/>
          <w:vertAlign w:val="subscript"/>
        </w:rPr>
        <w:t>6</w:t>
      </w:r>
      <w:r w:rsidRPr="00F11849">
        <w:rPr>
          <w:rFonts w:ascii="Arial" w:hAnsi="Arial" w:cs="Arial"/>
        </w:rPr>
        <w:t>, 5 mM K</w:t>
      </w:r>
      <w:r w:rsidRPr="00E00FAC">
        <w:rPr>
          <w:rFonts w:ascii="Arial" w:hAnsi="Arial" w:cs="Arial"/>
          <w:vertAlign w:val="subscript"/>
        </w:rPr>
        <w:t>4</w:t>
      </w:r>
      <w:r w:rsidRPr="00F11849">
        <w:rPr>
          <w:rFonts w:ascii="Arial" w:hAnsi="Arial" w:cs="Arial"/>
        </w:rPr>
        <w:t>Fe(CN)6 and 2 mM MgCl</w:t>
      </w:r>
      <w:r w:rsidRPr="00E00FAC">
        <w:rPr>
          <w:rFonts w:ascii="Arial" w:hAnsi="Arial" w:cs="Arial"/>
          <w:vertAlign w:val="subscript"/>
        </w:rPr>
        <w:t>2</w:t>
      </w:r>
      <w:r w:rsidRPr="00F11849">
        <w:rPr>
          <w:rFonts w:ascii="Arial" w:hAnsi="Arial" w:cs="Arial"/>
        </w:rPr>
        <w:t xml:space="preserve">) in PBS at pH 6.0 </w:t>
      </w:r>
      <w:r>
        <w:rPr>
          <w:rFonts w:ascii="Arial" w:hAnsi="Arial" w:cs="Arial"/>
        </w:rPr>
        <w:t>overnight</w:t>
      </w:r>
      <w:r w:rsidRPr="00F11849">
        <w:rPr>
          <w:rFonts w:ascii="Arial" w:hAnsi="Arial" w:cs="Arial"/>
        </w:rPr>
        <w:t xml:space="preserve"> at 37 °C. To allow comparison between specimens, all samples were assayed simultaneously.</w:t>
      </w:r>
      <w:r>
        <w:rPr>
          <w:rFonts w:ascii="Arial" w:hAnsi="Arial" w:cs="Arial"/>
        </w:rPr>
        <w:t xml:space="preserve"> Then, neurons were stained with </w:t>
      </w:r>
      <w:r w:rsidRPr="008869D1">
        <w:rPr>
          <w:rFonts w:ascii="Arial" w:hAnsi="Arial" w:cs="Arial"/>
        </w:rPr>
        <w:t>Green Fluorescent Nissl Stain</w:t>
      </w:r>
      <w:r>
        <w:rPr>
          <w:rFonts w:ascii="Arial" w:hAnsi="Arial" w:cs="Arial"/>
        </w:rPr>
        <w:t xml:space="preserve"> (</w:t>
      </w:r>
      <w:r w:rsidRPr="00F81AA5">
        <w:rPr>
          <w:rFonts w:ascii="Arial" w:hAnsi="Arial" w:cs="Arial"/>
        </w:rPr>
        <w:t>Thermo Fisher Scientific</w:t>
      </w:r>
      <w:r>
        <w:rPr>
          <w:rFonts w:ascii="Arial" w:hAnsi="Arial" w:cs="Arial"/>
        </w:rPr>
        <w:t xml:space="preserve">, N21480) diluted 1:150 in PBS and incubated 20 minutes at room temperature. The slices were then washed 3x with PBS for 10 minutes at room temperature and 1x with PBS for 2 hours at room temperature. Nuclei were stained with DAPI (SIGMA, </w:t>
      </w:r>
      <w:r w:rsidRPr="00E00FAC">
        <w:rPr>
          <w:rFonts w:ascii="Arial" w:hAnsi="Arial" w:cs="Arial"/>
        </w:rPr>
        <w:t>32670</w:t>
      </w:r>
      <w:r>
        <w:rPr>
          <w:rFonts w:ascii="Arial" w:hAnsi="Arial" w:cs="Arial"/>
        </w:rPr>
        <w:t xml:space="preserve">). </w:t>
      </w:r>
      <w:r w:rsidRPr="00E00FAC">
        <w:rPr>
          <w:rFonts w:ascii="Arial" w:hAnsi="Arial" w:cs="Arial"/>
        </w:rPr>
        <w:t>Images of the stained sections were taken using</w:t>
      </w:r>
      <w:r>
        <w:rPr>
          <w:rFonts w:ascii="Arial" w:hAnsi="Arial" w:cs="Arial"/>
        </w:rPr>
        <w:t xml:space="preserve"> inverted microscope (</w:t>
      </w:r>
      <w:r w:rsidRPr="005B734D">
        <w:rPr>
          <w:rFonts w:ascii="Arial" w:hAnsi="Arial" w:cs="Arial"/>
        </w:rPr>
        <w:t>Olympus, IX71S8F-2</w:t>
      </w:r>
      <w:r>
        <w:rPr>
          <w:rFonts w:ascii="Arial" w:hAnsi="Arial" w:cs="Arial"/>
        </w:rPr>
        <w:t>)</w:t>
      </w:r>
      <w:r w:rsidRPr="00E00FAC">
        <w:rPr>
          <w:rFonts w:ascii="Arial" w:hAnsi="Arial" w:cs="Arial"/>
        </w:rPr>
        <w:t xml:space="preserve">. </w:t>
      </w:r>
      <w:r>
        <w:rPr>
          <w:rFonts w:ascii="Arial" w:hAnsi="Arial" w:cs="Arial"/>
        </w:rPr>
        <w:t>Eight randomly selected areas of each mouse (N=2-3 per group)</w:t>
      </w:r>
      <w:r w:rsidRPr="00E00FAC">
        <w:rPr>
          <w:rFonts w:ascii="Arial" w:hAnsi="Arial" w:cs="Arial"/>
        </w:rPr>
        <w:t xml:space="preserve"> of the </w:t>
      </w:r>
      <w:r>
        <w:rPr>
          <w:rFonts w:ascii="Arial" w:hAnsi="Arial" w:cs="Arial"/>
        </w:rPr>
        <w:t>ventral horn of lumbar spinal cord sections were photographed at 2</w:t>
      </w:r>
      <w:r w:rsidRPr="00E00FAC">
        <w:rPr>
          <w:rFonts w:ascii="Arial" w:hAnsi="Arial" w:cs="Arial"/>
        </w:rPr>
        <w:t>0x magnification for visual analysis.</w:t>
      </w:r>
      <w:r>
        <w:rPr>
          <w:rFonts w:ascii="Arial" w:hAnsi="Arial" w:cs="Arial"/>
        </w:rPr>
        <w:t xml:space="preserve"> The whole section of </w:t>
      </w:r>
      <w:r w:rsidRPr="00F11849">
        <w:rPr>
          <w:rFonts w:ascii="Arial" w:hAnsi="Arial" w:cs="Arial"/>
        </w:rPr>
        <w:t>SA-β-Gal</w:t>
      </w:r>
      <w:r>
        <w:rPr>
          <w:rFonts w:ascii="Arial" w:hAnsi="Arial" w:cs="Arial"/>
        </w:rPr>
        <w:t xml:space="preserve"> stained slices was photographed at 4x magnification.</w:t>
      </w:r>
    </w:p>
    <w:p w:rsidR="001816BC" w:rsidRDefault="001816BC" w:rsidP="001816BC">
      <w:pPr>
        <w:spacing w:line="360" w:lineRule="auto"/>
        <w:jc w:val="both"/>
        <w:rPr>
          <w:rFonts w:ascii="Arial" w:hAnsi="Arial" w:cs="Arial"/>
          <w:i/>
        </w:rPr>
      </w:pPr>
      <w:r w:rsidRPr="00FB105B">
        <w:rPr>
          <w:rFonts w:ascii="Arial" w:hAnsi="Arial" w:cs="Arial"/>
          <w:i/>
        </w:rPr>
        <w:t>Immunofluorescence</w:t>
      </w:r>
    </w:p>
    <w:p w:rsidR="001816BC" w:rsidRDefault="001816BC" w:rsidP="001816BC">
      <w:pPr>
        <w:spacing w:line="360" w:lineRule="auto"/>
        <w:jc w:val="both"/>
        <w:rPr>
          <w:rFonts w:ascii="Arial" w:hAnsi="Arial" w:cs="Arial"/>
        </w:rPr>
      </w:pPr>
      <w:r>
        <w:rPr>
          <w:rFonts w:ascii="Arial" w:hAnsi="Arial" w:cs="Arial"/>
        </w:rPr>
        <w:t>One control and one transgenic lumbar spinal cord</w:t>
      </w:r>
      <w:r w:rsidRPr="00FB105B">
        <w:rPr>
          <w:rFonts w:ascii="Arial" w:hAnsi="Arial" w:cs="Arial"/>
        </w:rPr>
        <w:t xml:space="preserve"> </w:t>
      </w:r>
      <w:r>
        <w:rPr>
          <w:rFonts w:ascii="Arial" w:hAnsi="Arial" w:cs="Arial"/>
        </w:rPr>
        <w:t>were fixed</w:t>
      </w:r>
      <w:r w:rsidRPr="00FB105B">
        <w:rPr>
          <w:rFonts w:ascii="Arial" w:hAnsi="Arial" w:cs="Arial"/>
        </w:rPr>
        <w:t xml:space="preserve"> in 4% paraformaldehyde made in </w:t>
      </w:r>
      <w:r>
        <w:rPr>
          <w:rFonts w:ascii="Arial" w:hAnsi="Arial" w:cs="Arial"/>
        </w:rPr>
        <w:t>PBS</w:t>
      </w:r>
      <w:r w:rsidRPr="00FB105B">
        <w:rPr>
          <w:rFonts w:ascii="Arial" w:hAnsi="Arial" w:cs="Arial"/>
        </w:rPr>
        <w:t xml:space="preserve"> overnight at 4°C</w:t>
      </w:r>
      <w:r>
        <w:rPr>
          <w:rFonts w:ascii="Arial" w:hAnsi="Arial" w:cs="Arial"/>
        </w:rPr>
        <w:t xml:space="preserve"> and</w:t>
      </w:r>
      <w:r w:rsidRPr="00FB105B">
        <w:rPr>
          <w:rFonts w:ascii="Arial" w:hAnsi="Arial" w:cs="Arial"/>
        </w:rPr>
        <w:t xml:space="preserve"> cryopreserved in 30% sucrose</w:t>
      </w:r>
      <w:r>
        <w:rPr>
          <w:rFonts w:ascii="Arial" w:hAnsi="Arial" w:cs="Arial"/>
        </w:rPr>
        <w:t xml:space="preserve"> in PBS</w:t>
      </w:r>
      <w:r w:rsidRPr="00FB105B">
        <w:rPr>
          <w:rFonts w:ascii="Arial" w:hAnsi="Arial" w:cs="Arial"/>
        </w:rPr>
        <w:t xml:space="preserve"> 48 hours</w:t>
      </w:r>
      <w:r>
        <w:rPr>
          <w:rFonts w:ascii="Arial" w:hAnsi="Arial" w:cs="Arial"/>
        </w:rPr>
        <w:t xml:space="preserve">. </w:t>
      </w:r>
      <w:r w:rsidRPr="00FB105B">
        <w:rPr>
          <w:rFonts w:ascii="Arial" w:hAnsi="Arial" w:cs="Arial"/>
        </w:rPr>
        <w:t>The lumbar spinal cord was then cut at a 16 µm section depth and resulting seeded on a gelatin-coated slide. Sam</w:t>
      </w:r>
      <w:r>
        <w:rPr>
          <w:rFonts w:ascii="Arial" w:hAnsi="Arial" w:cs="Arial"/>
        </w:rPr>
        <w:t>ples were permeabilized with 0.3</w:t>
      </w:r>
      <w:r w:rsidRPr="00FB105B">
        <w:rPr>
          <w:rFonts w:ascii="Arial" w:hAnsi="Arial" w:cs="Arial"/>
        </w:rPr>
        <w:t xml:space="preserve">% Triton X-100 PBS for 30 min and blocked with 5% </w:t>
      </w:r>
      <w:r>
        <w:rPr>
          <w:rFonts w:ascii="Arial" w:hAnsi="Arial" w:cs="Arial"/>
        </w:rPr>
        <w:t>BSA in PBS for 1</w:t>
      </w:r>
      <w:r w:rsidRPr="00FB105B">
        <w:rPr>
          <w:rFonts w:ascii="Arial" w:hAnsi="Arial" w:cs="Arial"/>
        </w:rPr>
        <w:t xml:space="preserve">h at room temperature. </w:t>
      </w:r>
      <w:r>
        <w:rPr>
          <w:rFonts w:ascii="Arial" w:hAnsi="Arial" w:cs="Arial"/>
        </w:rPr>
        <w:t>The primary antibody 1:100 anti-p16 (abcam, ab54210) and 1:200 anti-GFAP (abcam, ab7260) were diluted in 0.3</w:t>
      </w:r>
      <w:r w:rsidRPr="00FB105B">
        <w:rPr>
          <w:rFonts w:ascii="Arial" w:hAnsi="Arial" w:cs="Arial"/>
        </w:rPr>
        <w:t xml:space="preserve">% Triton X-100 PBS </w:t>
      </w:r>
      <w:r>
        <w:rPr>
          <w:rFonts w:ascii="Arial" w:hAnsi="Arial" w:cs="Arial"/>
        </w:rPr>
        <w:t>and incubated</w:t>
      </w:r>
      <w:r w:rsidRPr="00FB105B">
        <w:rPr>
          <w:rFonts w:ascii="Arial" w:hAnsi="Arial" w:cs="Arial"/>
        </w:rPr>
        <w:t xml:space="preserve"> overnight at 4°C. </w:t>
      </w:r>
      <w:r>
        <w:rPr>
          <w:rFonts w:ascii="Arial" w:hAnsi="Arial" w:cs="Arial"/>
        </w:rPr>
        <w:t>The</w:t>
      </w:r>
      <w:r w:rsidRPr="00FB105B">
        <w:rPr>
          <w:rFonts w:ascii="Arial" w:hAnsi="Arial" w:cs="Arial"/>
        </w:rPr>
        <w:t xml:space="preserve"> slices were washed with PBS three times for </w:t>
      </w:r>
      <w:r>
        <w:rPr>
          <w:rFonts w:ascii="Arial" w:hAnsi="Arial" w:cs="Arial"/>
        </w:rPr>
        <w:t>5</w:t>
      </w:r>
      <w:r w:rsidRPr="00FB105B">
        <w:rPr>
          <w:rFonts w:ascii="Arial" w:hAnsi="Arial" w:cs="Arial"/>
        </w:rPr>
        <w:t xml:space="preserve"> min at room temperature, followed by the secondary antibody (diluted 1:800 in PBS), goat anti-mouse Alexa Fluor 555 (Thermo Fisher Scientific, </w:t>
      </w:r>
      <w:r>
        <w:rPr>
          <w:rFonts w:ascii="Arial" w:hAnsi="Arial" w:cs="Arial"/>
        </w:rPr>
        <w:t>A21422</w:t>
      </w:r>
      <w:r w:rsidRPr="00FB105B">
        <w:rPr>
          <w:rFonts w:ascii="Arial" w:hAnsi="Arial" w:cs="Arial"/>
        </w:rPr>
        <w:t xml:space="preserve">) and goat anti-rabbit Alexa Fluor 488 (Thermo Fisher Scientific, </w:t>
      </w:r>
      <w:r>
        <w:rPr>
          <w:rFonts w:ascii="Arial" w:hAnsi="Arial" w:cs="Arial"/>
        </w:rPr>
        <w:t>A11008</w:t>
      </w:r>
      <w:r w:rsidRPr="00FB105B">
        <w:rPr>
          <w:rFonts w:ascii="Arial" w:hAnsi="Arial" w:cs="Arial"/>
        </w:rPr>
        <w:t xml:space="preserve">) incubation for 1h at room temperature in darkness. Sections were finally counterstained with </w:t>
      </w:r>
      <w:r>
        <w:rPr>
          <w:rFonts w:ascii="Arial" w:hAnsi="Arial" w:cs="Arial"/>
        </w:rPr>
        <w:t>1 µg/ml</w:t>
      </w:r>
      <w:r w:rsidRPr="00FB105B">
        <w:rPr>
          <w:rFonts w:ascii="Arial" w:hAnsi="Arial" w:cs="Arial"/>
        </w:rPr>
        <w:t xml:space="preserve"> 4,6-diamidino-2-phe</w:t>
      </w:r>
      <w:r>
        <w:rPr>
          <w:rFonts w:ascii="Arial" w:hAnsi="Arial" w:cs="Arial"/>
        </w:rPr>
        <w:t xml:space="preserve">nylindole </w:t>
      </w:r>
      <w:r>
        <w:rPr>
          <w:rFonts w:ascii="Arial" w:hAnsi="Arial" w:cs="Arial"/>
        </w:rPr>
        <w:lastRenderedPageBreak/>
        <w:t xml:space="preserve">dihydrochloride (DAPI) </w:t>
      </w:r>
      <w:r w:rsidRPr="00FB105B">
        <w:rPr>
          <w:rFonts w:ascii="Arial" w:hAnsi="Arial" w:cs="Arial"/>
        </w:rPr>
        <w:t xml:space="preserve">in PBS for </w:t>
      </w:r>
      <w:r>
        <w:rPr>
          <w:rFonts w:ascii="Arial" w:hAnsi="Arial" w:cs="Arial"/>
        </w:rPr>
        <w:t>10</w:t>
      </w:r>
      <w:r w:rsidRPr="00FB105B">
        <w:rPr>
          <w:rFonts w:ascii="Arial" w:hAnsi="Arial" w:cs="Arial"/>
        </w:rPr>
        <w:t xml:space="preserve"> min at RT and mounted on slides with</w:t>
      </w:r>
      <w:r>
        <w:rPr>
          <w:rFonts w:ascii="Arial" w:hAnsi="Arial" w:cs="Arial"/>
        </w:rPr>
        <w:t xml:space="preserve"> </w:t>
      </w:r>
      <w:r w:rsidRPr="00B12317">
        <w:rPr>
          <w:rFonts w:ascii="Arial" w:hAnsi="Arial" w:cs="Arial"/>
        </w:rPr>
        <w:t>Fluoromount-G®</w:t>
      </w:r>
      <w:r>
        <w:rPr>
          <w:rFonts w:ascii="Arial" w:hAnsi="Arial" w:cs="Arial"/>
        </w:rPr>
        <w:t xml:space="preserve"> (Southern Biotech, 0100)</w:t>
      </w:r>
      <w:r w:rsidRPr="00FB105B">
        <w:rPr>
          <w:rFonts w:ascii="Arial" w:hAnsi="Arial" w:cs="Arial"/>
        </w:rPr>
        <w:t xml:space="preserve">. </w:t>
      </w:r>
      <w:r>
        <w:rPr>
          <w:rFonts w:ascii="Arial" w:hAnsi="Arial" w:cs="Arial"/>
        </w:rPr>
        <w:t>Samples</w:t>
      </w:r>
      <w:r w:rsidRPr="00B12317">
        <w:rPr>
          <w:rFonts w:ascii="Arial" w:hAnsi="Arial" w:cs="Arial"/>
        </w:rPr>
        <w:t xml:space="preserve"> were imaged using a laser scanning confocal microscope</w:t>
      </w:r>
      <w:r>
        <w:rPr>
          <w:rFonts w:ascii="Arial" w:hAnsi="Arial" w:cs="Arial"/>
        </w:rPr>
        <w:t xml:space="preserve"> </w:t>
      </w:r>
      <w:r w:rsidRPr="00B12317">
        <w:rPr>
          <w:rFonts w:ascii="Arial" w:hAnsi="Arial" w:cs="Arial"/>
        </w:rPr>
        <w:t>Olympus FluoView FV10</w:t>
      </w:r>
      <w:r>
        <w:rPr>
          <w:rFonts w:ascii="Arial" w:hAnsi="Arial" w:cs="Arial"/>
        </w:rPr>
        <w:t>.</w:t>
      </w:r>
      <w:r w:rsidRPr="00B12317">
        <w:rPr>
          <w:rFonts w:ascii="Arial" w:hAnsi="Arial" w:cs="Arial"/>
        </w:rPr>
        <w:t xml:space="preserve"> </w:t>
      </w:r>
    </w:p>
    <w:p w:rsidR="001816BC" w:rsidRDefault="001816BC" w:rsidP="001816BC">
      <w:pPr>
        <w:spacing w:line="360" w:lineRule="auto"/>
        <w:jc w:val="both"/>
        <w:rPr>
          <w:rFonts w:ascii="Arial" w:hAnsi="Arial" w:cs="Arial"/>
          <w:i/>
        </w:rPr>
      </w:pPr>
      <w:r w:rsidRPr="00B12317">
        <w:rPr>
          <w:rFonts w:ascii="Arial" w:hAnsi="Arial" w:cs="Arial"/>
          <w:i/>
        </w:rPr>
        <w:t>Immunohistochemistry</w:t>
      </w:r>
    </w:p>
    <w:p w:rsidR="001816BC" w:rsidRDefault="001816BC" w:rsidP="001816BC">
      <w:pPr>
        <w:spacing w:line="360" w:lineRule="auto"/>
        <w:jc w:val="both"/>
        <w:rPr>
          <w:rFonts w:ascii="Arial" w:hAnsi="Arial" w:cs="Arial"/>
        </w:rPr>
      </w:pPr>
      <w:r>
        <w:rPr>
          <w:rFonts w:ascii="Arial" w:hAnsi="Arial" w:cs="Arial"/>
        </w:rPr>
        <w:t>One control and one transgenic paraformaldehyd</w:t>
      </w:r>
      <w:r w:rsidRPr="00B8655C">
        <w:rPr>
          <w:rFonts w:ascii="Arial" w:hAnsi="Arial" w:cs="Arial"/>
        </w:rPr>
        <w:t xml:space="preserve"> fixed paraffin embedded tissue slides were dried for 1h at 65º before pre-treatment procedure of deparaffinization, rehydration and epitope retrie</w:t>
      </w:r>
      <w:r>
        <w:rPr>
          <w:rFonts w:ascii="Arial" w:hAnsi="Arial" w:cs="Arial"/>
        </w:rPr>
        <w:t>val in the Pre-Treatment Module</w:t>
      </w:r>
      <w:r w:rsidRPr="00B8655C">
        <w:rPr>
          <w:rFonts w:ascii="Arial" w:hAnsi="Arial" w:cs="Arial"/>
        </w:rPr>
        <w:t xml:space="preserve"> (Agilent Technologies-D</w:t>
      </w:r>
      <w:r>
        <w:rPr>
          <w:rFonts w:ascii="Arial" w:hAnsi="Arial" w:cs="Arial"/>
        </w:rPr>
        <w:t>AKO,</w:t>
      </w:r>
      <w:r w:rsidRPr="00B8655C">
        <w:rPr>
          <w:rFonts w:ascii="Arial" w:hAnsi="Arial" w:cs="Arial"/>
        </w:rPr>
        <w:t xml:space="preserve"> PT-LINK) at 95°C for 20 min in 50x Tris/EDTA buffer, pH 9. For p21 immunohistochemical staining, p21WAF</w:t>
      </w:r>
      <w:r>
        <w:rPr>
          <w:rFonts w:ascii="Arial" w:hAnsi="Arial" w:cs="Arial"/>
        </w:rPr>
        <w:t>1/Cip1 antibody (</w:t>
      </w:r>
      <w:r w:rsidRPr="00B8655C">
        <w:rPr>
          <w:rFonts w:ascii="Arial" w:hAnsi="Arial" w:cs="Arial"/>
        </w:rPr>
        <w:t>Agilent Technologies-DAKO</w:t>
      </w:r>
      <w:r>
        <w:rPr>
          <w:rFonts w:ascii="Arial" w:hAnsi="Arial" w:cs="Arial"/>
        </w:rPr>
        <w:t>,</w:t>
      </w:r>
      <w:r w:rsidRPr="00B8655C">
        <w:rPr>
          <w:rFonts w:ascii="Arial" w:hAnsi="Arial" w:cs="Arial"/>
        </w:rPr>
        <w:t xml:space="preserve"> </w:t>
      </w:r>
      <w:r>
        <w:rPr>
          <w:rFonts w:ascii="Arial" w:hAnsi="Arial" w:cs="Arial"/>
        </w:rPr>
        <w:t>clone SX118) 1:100 dilution</w:t>
      </w:r>
      <w:r w:rsidRPr="00B8655C">
        <w:rPr>
          <w:rFonts w:ascii="Arial" w:hAnsi="Arial" w:cs="Arial"/>
        </w:rPr>
        <w:t xml:space="preserve"> was used. After incubation, the reaction was visualized with the EnVisionTM FLEX Detection Kit (Agilent Technologies-DAKO</w:t>
      </w:r>
      <w:r>
        <w:rPr>
          <w:rFonts w:ascii="Arial" w:hAnsi="Arial" w:cs="Arial"/>
        </w:rPr>
        <w:t>)</w:t>
      </w:r>
      <w:r w:rsidRPr="00B8655C">
        <w:rPr>
          <w:rFonts w:ascii="Arial" w:hAnsi="Arial" w:cs="Arial"/>
        </w:rPr>
        <w:t xml:space="preserve"> using diaminobenzidine chromogen as a substrate. For p16 immunohistochemical staining, p16 INK4a antibody was used using CINtec® Histology Kit (ROCHE, clone E6H4) following manufacturer’s instructions.</w:t>
      </w:r>
      <w:r>
        <w:rPr>
          <w:rFonts w:ascii="Arial" w:hAnsi="Arial" w:cs="Arial"/>
        </w:rPr>
        <w:t xml:space="preserve"> </w:t>
      </w:r>
      <w:r w:rsidRPr="00B8655C">
        <w:rPr>
          <w:rFonts w:ascii="Arial" w:hAnsi="Arial" w:cs="Arial"/>
        </w:rPr>
        <w:t>Sections were counterstained with hematoxylin.</w:t>
      </w:r>
    </w:p>
    <w:p w:rsidR="001816BC" w:rsidRDefault="001816BC" w:rsidP="001816BC">
      <w:pPr>
        <w:spacing w:line="360" w:lineRule="auto"/>
        <w:jc w:val="both"/>
        <w:rPr>
          <w:rFonts w:ascii="Arial" w:hAnsi="Arial" w:cs="Arial"/>
          <w:i/>
        </w:rPr>
      </w:pPr>
      <w:r>
        <w:rPr>
          <w:rFonts w:ascii="Arial" w:hAnsi="Arial" w:cs="Arial"/>
          <w:i/>
        </w:rPr>
        <w:t>Statistical Analysis</w:t>
      </w:r>
    </w:p>
    <w:p w:rsidR="00190AB0" w:rsidRDefault="001816BC" w:rsidP="001816BC">
      <w:pPr>
        <w:spacing w:line="360" w:lineRule="auto"/>
        <w:jc w:val="both"/>
        <w:rPr>
          <w:rFonts w:ascii="Arial" w:hAnsi="Arial" w:cs="Arial"/>
        </w:rPr>
      </w:pPr>
      <w:r w:rsidRPr="003C6108">
        <w:rPr>
          <w:rFonts w:ascii="Arial" w:hAnsi="Arial" w:cs="Arial"/>
        </w:rPr>
        <w:t>All statistical tests and graphs were performed using GraphPad Prism 6 (GraphPad Software). Normalized mRNA expression was analyzed with ordinary Two-way ANOVA test of the variables time and genotype. For multiple comparisons between genotypes, Bonferroni</w:t>
      </w:r>
      <w:r>
        <w:rPr>
          <w:rFonts w:ascii="Arial" w:hAnsi="Arial" w:cs="Arial"/>
        </w:rPr>
        <w:t>’</w:t>
      </w:r>
      <w:r w:rsidRPr="003C6108">
        <w:rPr>
          <w:rFonts w:ascii="Arial" w:hAnsi="Arial" w:cs="Arial"/>
        </w:rPr>
        <w:t>s multiple comparisons test was used. In SA-beta-gal activity experiments, p</w:t>
      </w:r>
      <w:r w:rsidRPr="003C6108">
        <w:rPr>
          <w:rFonts w:ascii="Cambria Math" w:hAnsi="Cambria Math" w:cs="Cambria Math"/>
        </w:rPr>
        <w:t>‐</w:t>
      </w:r>
      <w:r w:rsidRPr="003C6108">
        <w:rPr>
          <w:rFonts w:ascii="Arial" w:hAnsi="Arial" w:cs="Arial"/>
        </w:rPr>
        <w:t xml:space="preserve">value was determined by Chi-square’s test. To evaluate relationship between </w:t>
      </w:r>
      <w:r w:rsidRPr="003C6108">
        <w:rPr>
          <w:rFonts w:ascii="Arial" w:hAnsi="Arial" w:cs="Arial"/>
          <w:i/>
        </w:rPr>
        <w:t>p16</w:t>
      </w:r>
      <w:r w:rsidRPr="003C6108">
        <w:rPr>
          <w:rFonts w:ascii="Arial" w:hAnsi="Arial" w:cs="Arial"/>
        </w:rPr>
        <w:t xml:space="preserve"> and </w:t>
      </w:r>
      <w:r w:rsidRPr="003C6108">
        <w:rPr>
          <w:rFonts w:ascii="Arial" w:hAnsi="Arial" w:cs="Arial"/>
          <w:i/>
        </w:rPr>
        <w:t>Adipor2</w:t>
      </w:r>
      <w:r w:rsidRPr="003C6108">
        <w:rPr>
          <w:rFonts w:ascii="Arial" w:hAnsi="Arial" w:cs="Arial"/>
        </w:rPr>
        <w:t xml:space="preserve"> cryptic mRNA levels a linear regression was tested.</w:t>
      </w:r>
    </w:p>
    <w:p w:rsidR="00190AB0" w:rsidRDefault="00190AB0">
      <w:pPr>
        <w:spacing w:after="160" w:line="259" w:lineRule="auto"/>
        <w:rPr>
          <w:rFonts w:ascii="Arial" w:hAnsi="Arial" w:cs="Arial"/>
        </w:rPr>
      </w:pPr>
      <w:r>
        <w:rPr>
          <w:rFonts w:ascii="Arial" w:hAnsi="Arial" w:cs="Arial"/>
        </w:rPr>
        <w:br w:type="page"/>
      </w:r>
    </w:p>
    <w:p w:rsidR="00E00F75" w:rsidRDefault="00E00F75" w:rsidP="001816BC">
      <w:pPr>
        <w:spacing w:line="360" w:lineRule="auto"/>
        <w:jc w:val="both"/>
        <w:rPr>
          <w:rFonts w:ascii="Arial" w:hAnsi="Arial" w:cs="Arial"/>
        </w:rPr>
      </w:pPr>
      <w:r>
        <w:rPr>
          <w:rFonts w:ascii="Arial" w:hAnsi="Arial" w:cs="Arial"/>
          <w:noProof/>
        </w:rPr>
        <w:lastRenderedPageBreak/>
        <w:drawing>
          <wp:inline distT="0" distB="0" distL="0" distR="0" wp14:anchorId="153686E9">
            <wp:extent cx="5420359" cy="5475995"/>
            <wp:effectExtent l="0" t="0" r="9525" b="0"/>
            <wp:docPr id="76" name="Imagen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28633" cy="5484354"/>
                    </a:xfrm>
                    <a:prstGeom prst="rect">
                      <a:avLst/>
                    </a:prstGeom>
                    <a:noFill/>
                  </pic:spPr>
                </pic:pic>
              </a:graphicData>
            </a:graphic>
          </wp:inline>
        </w:drawing>
      </w:r>
    </w:p>
    <w:p w:rsidR="00190AB0" w:rsidRDefault="001816BC" w:rsidP="001816BC">
      <w:pPr>
        <w:spacing w:line="360" w:lineRule="auto"/>
        <w:jc w:val="both"/>
        <w:rPr>
          <w:rFonts w:ascii="Arial" w:hAnsi="Arial" w:cs="Arial"/>
        </w:rPr>
      </w:pPr>
      <w:r w:rsidRPr="003C6108">
        <w:rPr>
          <w:rFonts w:ascii="Arial" w:hAnsi="Arial" w:cs="Arial"/>
          <w:b/>
          <w:bCs/>
        </w:rPr>
        <w:t xml:space="preserve">Figure </w:t>
      </w:r>
      <w:r w:rsidR="00E00F75">
        <w:rPr>
          <w:rFonts w:ascii="Arial" w:hAnsi="Arial" w:cs="Arial"/>
          <w:b/>
          <w:bCs/>
        </w:rPr>
        <w:t>S1</w:t>
      </w:r>
      <w:r w:rsidRPr="003C6108">
        <w:rPr>
          <w:rFonts w:ascii="Arial" w:hAnsi="Arial" w:cs="Arial"/>
          <w:b/>
          <w:bCs/>
        </w:rPr>
        <w:t>.</w:t>
      </w:r>
      <w:r w:rsidRPr="00A42B0E">
        <w:rPr>
          <w:rFonts w:ascii="Arial" w:hAnsi="Arial" w:cs="Arial"/>
        </w:rPr>
        <w:t xml:space="preserve"> Cytoplasmic p16+ microglia</w:t>
      </w:r>
      <w:r>
        <w:rPr>
          <w:rFonts w:ascii="Arial" w:hAnsi="Arial" w:cs="Arial"/>
        </w:rPr>
        <w:t xml:space="preserve"> (Iba1+)</w:t>
      </w:r>
      <w:r w:rsidRPr="00A42B0E">
        <w:rPr>
          <w:rFonts w:ascii="Arial" w:hAnsi="Arial" w:cs="Arial"/>
        </w:rPr>
        <w:t xml:space="preserve"> (a) and astrocytes</w:t>
      </w:r>
      <w:r>
        <w:rPr>
          <w:rFonts w:ascii="Arial" w:hAnsi="Arial" w:cs="Arial"/>
        </w:rPr>
        <w:t xml:space="preserve"> (GFAP+)</w:t>
      </w:r>
      <w:r w:rsidRPr="00A42B0E">
        <w:rPr>
          <w:rFonts w:ascii="Arial" w:hAnsi="Arial" w:cs="Arial"/>
        </w:rPr>
        <w:t xml:space="preserve"> (b) are present in lumbar spinal cord of transgenic mice and absent in controls. Scale bar represents 500 µm.</w:t>
      </w:r>
      <w:r>
        <w:rPr>
          <w:rFonts w:ascii="Arial" w:hAnsi="Arial" w:cs="Arial"/>
        </w:rPr>
        <w:t xml:space="preserve"> Representative images from independent experiments (n= 10 slices from at least 3 different animals from each genotype and age) are shown.</w:t>
      </w:r>
    </w:p>
    <w:p w:rsidR="00E00F75" w:rsidRDefault="00190AB0" w:rsidP="00E00F75">
      <w:pPr>
        <w:spacing w:line="360" w:lineRule="auto"/>
        <w:jc w:val="both"/>
        <w:rPr>
          <w:rFonts w:ascii="Arial" w:hAnsi="Arial" w:cs="Arial"/>
        </w:rPr>
      </w:pPr>
      <w:r>
        <w:rPr>
          <w:rFonts w:ascii="Arial" w:hAnsi="Arial" w:cs="Arial"/>
        </w:rPr>
        <w:br w:type="page"/>
      </w:r>
    </w:p>
    <w:p w:rsidR="00E00F75" w:rsidRDefault="00E00F75" w:rsidP="00E00F75">
      <w:pPr>
        <w:spacing w:line="360" w:lineRule="auto"/>
        <w:jc w:val="both"/>
        <w:rPr>
          <w:rFonts w:ascii="Arial" w:hAnsi="Arial" w:cs="Arial"/>
          <w:b/>
          <w:bCs/>
        </w:rPr>
      </w:pPr>
    </w:p>
    <w:p w:rsidR="00E00F75" w:rsidRDefault="00E00F75" w:rsidP="00E00F75">
      <w:pPr>
        <w:spacing w:line="360" w:lineRule="auto"/>
        <w:jc w:val="both"/>
        <w:rPr>
          <w:rFonts w:ascii="Arial" w:hAnsi="Arial" w:cs="Arial"/>
          <w:b/>
          <w:bCs/>
        </w:rPr>
      </w:pPr>
      <w:bookmarkStart w:id="1" w:name="_GoBack"/>
      <w:bookmarkEnd w:id="1"/>
      <w:r>
        <w:rPr>
          <w:rFonts w:ascii="Arial" w:hAnsi="Arial" w:cs="Arial"/>
          <w:b/>
          <w:bCs/>
          <w:noProof/>
        </w:rPr>
        <w:drawing>
          <wp:inline distT="0" distB="0" distL="0" distR="0" wp14:anchorId="6D59BBC0">
            <wp:extent cx="6413500" cy="3968750"/>
            <wp:effectExtent l="0" t="0" r="0" b="0"/>
            <wp:docPr id="77" name="Imagen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413500" cy="3968750"/>
                    </a:xfrm>
                    <a:prstGeom prst="rect">
                      <a:avLst/>
                    </a:prstGeom>
                    <a:noFill/>
                  </pic:spPr>
                </pic:pic>
              </a:graphicData>
            </a:graphic>
          </wp:inline>
        </w:drawing>
      </w:r>
    </w:p>
    <w:p w:rsidR="00E00F75" w:rsidRDefault="00E00F75" w:rsidP="00E00F75">
      <w:pPr>
        <w:spacing w:line="360" w:lineRule="auto"/>
        <w:jc w:val="both"/>
        <w:rPr>
          <w:rFonts w:ascii="Arial" w:hAnsi="Arial" w:cs="Arial"/>
        </w:rPr>
      </w:pPr>
      <w:r w:rsidRPr="003C6108">
        <w:rPr>
          <w:rFonts w:ascii="Arial" w:hAnsi="Arial" w:cs="Arial"/>
          <w:b/>
          <w:bCs/>
        </w:rPr>
        <w:t xml:space="preserve">Figure </w:t>
      </w:r>
      <w:r>
        <w:rPr>
          <w:rFonts w:ascii="Arial" w:hAnsi="Arial" w:cs="Arial"/>
          <w:b/>
          <w:bCs/>
        </w:rPr>
        <w:t>S2</w:t>
      </w:r>
      <w:r w:rsidRPr="003C6108">
        <w:rPr>
          <w:rFonts w:ascii="Arial" w:hAnsi="Arial" w:cs="Arial"/>
          <w:b/>
          <w:bCs/>
        </w:rPr>
        <w:t>.</w:t>
      </w:r>
      <w:r w:rsidRPr="00A42B0E">
        <w:rPr>
          <w:rFonts w:ascii="Arial" w:hAnsi="Arial" w:cs="Arial"/>
        </w:rPr>
        <w:t xml:space="preserve"> SA-beta-gal activity was decreased in 90- and 120-day-old hSOD1-G93A mice. Nissl+ cells are the main contributors of this activity, which is lower in ALS mice. In contrast, Nissl- cells exhibited a slight decrease in transgenic mice. ***p &lt; 0.001; ****p &lt; 0.0001. Yellow scale bar represents 500 µm and red scale bar represents 2500 µm.</w:t>
      </w:r>
    </w:p>
    <w:p w:rsidR="00E00F75" w:rsidRDefault="00E00F75">
      <w:pPr>
        <w:spacing w:after="160" w:line="259" w:lineRule="auto"/>
        <w:rPr>
          <w:rFonts w:ascii="Arial" w:hAnsi="Arial" w:cs="Arial"/>
        </w:rPr>
      </w:pPr>
      <w:r>
        <w:rPr>
          <w:rFonts w:ascii="Arial" w:hAnsi="Arial" w:cs="Arial"/>
        </w:rPr>
        <w:br w:type="page"/>
      </w:r>
    </w:p>
    <w:p w:rsidR="00190AB0" w:rsidRDefault="00190AB0">
      <w:pPr>
        <w:spacing w:after="160" w:line="259" w:lineRule="auto"/>
        <w:rPr>
          <w:rFonts w:ascii="Arial" w:hAnsi="Arial" w:cs="Arial"/>
        </w:rPr>
      </w:pPr>
    </w:p>
    <w:p w:rsidR="001816BC" w:rsidRDefault="00190AB0" w:rsidP="001816BC">
      <w:pPr>
        <w:spacing w:line="360" w:lineRule="auto"/>
        <w:jc w:val="both"/>
        <w:rPr>
          <w:rFonts w:ascii="Arial" w:hAnsi="Arial" w:cs="Arial"/>
        </w:rPr>
      </w:pPr>
      <w:r>
        <w:rPr>
          <w:rFonts w:ascii="Arial" w:hAnsi="Arial" w:cs="Arial"/>
          <w:noProof/>
        </w:rPr>
        <w:drawing>
          <wp:inline distT="0" distB="0" distL="0" distR="0" wp14:anchorId="631EA730">
            <wp:extent cx="6156053" cy="6120862"/>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162572" cy="6127344"/>
                    </a:xfrm>
                    <a:prstGeom prst="rect">
                      <a:avLst/>
                    </a:prstGeom>
                    <a:noFill/>
                  </pic:spPr>
                </pic:pic>
              </a:graphicData>
            </a:graphic>
          </wp:inline>
        </w:drawing>
      </w:r>
    </w:p>
    <w:p w:rsidR="00531E70" w:rsidRDefault="001816BC" w:rsidP="001816BC">
      <w:pPr>
        <w:spacing w:line="360" w:lineRule="auto"/>
        <w:jc w:val="both"/>
        <w:rPr>
          <w:rFonts w:ascii="Arial" w:hAnsi="Arial" w:cs="Arial"/>
        </w:rPr>
      </w:pPr>
      <w:r w:rsidRPr="003C6108">
        <w:rPr>
          <w:rFonts w:ascii="Arial" w:hAnsi="Arial" w:cs="Arial"/>
          <w:b/>
          <w:bCs/>
        </w:rPr>
        <w:t xml:space="preserve">Figure </w:t>
      </w:r>
      <w:r>
        <w:rPr>
          <w:rFonts w:ascii="Arial" w:hAnsi="Arial" w:cs="Arial"/>
          <w:b/>
          <w:bCs/>
        </w:rPr>
        <w:t>S3</w:t>
      </w:r>
      <w:r w:rsidRPr="003C6108">
        <w:rPr>
          <w:rFonts w:ascii="Arial" w:hAnsi="Arial" w:cs="Arial"/>
          <w:b/>
          <w:bCs/>
        </w:rPr>
        <w:t>.</w:t>
      </w:r>
      <w:r w:rsidRPr="00A42B0E">
        <w:rPr>
          <w:rFonts w:ascii="Arial" w:hAnsi="Arial" w:cs="Arial"/>
        </w:rPr>
        <w:t xml:space="preserve"> </w:t>
      </w:r>
      <w:r w:rsidR="00190AB0" w:rsidRPr="0039689B">
        <w:rPr>
          <w:rFonts w:ascii="Arial" w:hAnsi="Arial" w:cs="Arial"/>
          <w:b/>
          <w:bCs/>
        </w:rPr>
        <w:t xml:space="preserve"> </w:t>
      </w:r>
      <w:r w:rsidR="00190AB0" w:rsidRPr="0039689B">
        <w:rPr>
          <w:rFonts w:ascii="Arial" w:hAnsi="Arial" w:cs="Arial"/>
          <w:i/>
          <w:iCs/>
        </w:rPr>
        <w:t>Adipor2</w:t>
      </w:r>
      <w:r w:rsidR="00190AB0">
        <w:rPr>
          <w:rFonts w:ascii="Arial" w:hAnsi="Arial" w:cs="Arial"/>
          <w:i/>
          <w:iCs/>
        </w:rPr>
        <w:t xml:space="preserve"> </w:t>
      </w:r>
      <w:r w:rsidR="00190AB0" w:rsidRPr="002E2D25">
        <w:rPr>
          <w:rFonts w:ascii="Arial" w:hAnsi="Arial" w:cs="Arial"/>
        </w:rPr>
        <w:t xml:space="preserve">cryptic exon splicing is increased in </w:t>
      </w:r>
      <w:r w:rsidR="00190AB0" w:rsidRPr="002E2D25">
        <w:rPr>
          <w:rFonts w:ascii="Arial" w:hAnsi="Arial" w:cs="Arial"/>
          <w:i/>
          <w:iCs/>
        </w:rPr>
        <w:t>Tardbp</w:t>
      </w:r>
      <w:r w:rsidR="00190AB0" w:rsidRPr="002E2D25">
        <w:rPr>
          <w:rFonts w:ascii="Arial" w:hAnsi="Arial" w:cs="Arial"/>
        </w:rPr>
        <w:t xml:space="preserve"> silenced </w:t>
      </w:r>
      <w:r w:rsidR="00190AB0">
        <w:rPr>
          <w:rFonts w:ascii="Arial" w:hAnsi="Arial" w:cs="Arial"/>
        </w:rPr>
        <w:t xml:space="preserve">murine </w:t>
      </w:r>
      <w:r w:rsidR="00190AB0" w:rsidRPr="002E2D25">
        <w:rPr>
          <w:rFonts w:ascii="Arial" w:hAnsi="Arial" w:cs="Arial"/>
        </w:rPr>
        <w:t>cells.</w:t>
      </w:r>
      <w:r w:rsidR="00190AB0">
        <w:rPr>
          <w:rFonts w:ascii="Arial" w:hAnsi="Arial" w:cs="Arial"/>
        </w:rPr>
        <w:t xml:space="preserve"> RT-qPCR of </w:t>
      </w:r>
      <w:r w:rsidR="00190AB0" w:rsidRPr="002E2D25">
        <w:rPr>
          <w:rFonts w:ascii="Arial" w:hAnsi="Arial" w:cs="Arial"/>
          <w:i/>
          <w:iCs/>
        </w:rPr>
        <w:t>Adipor2</w:t>
      </w:r>
      <w:r w:rsidR="00190AB0">
        <w:rPr>
          <w:rFonts w:ascii="Arial" w:hAnsi="Arial" w:cs="Arial"/>
        </w:rPr>
        <w:t xml:space="preserve"> cryptic exon showed a high increase (a) and Western Blot analyses of TDP-43 confirmed the reduction of this protein in silenced 3T3 cells (b). </w:t>
      </w:r>
      <w:r w:rsidR="00190AB0" w:rsidRPr="00A42B0E">
        <w:rPr>
          <w:rFonts w:ascii="Arial" w:hAnsi="Arial" w:cs="Arial"/>
        </w:rPr>
        <w:t>*p &lt; 0.0</w:t>
      </w:r>
      <w:r w:rsidR="00190AB0">
        <w:rPr>
          <w:rFonts w:ascii="Arial" w:hAnsi="Arial" w:cs="Arial"/>
        </w:rPr>
        <w:t>5. Shown are data representative from 3 independent experiments.</w:t>
      </w:r>
      <w:r w:rsidR="00190AB0">
        <w:rPr>
          <w:rFonts w:ascii="Arial" w:hAnsi="Arial" w:cs="Arial"/>
        </w:rPr>
        <w:t xml:space="preserve"> </w:t>
      </w:r>
      <w:r w:rsidRPr="00A42B0E">
        <w:rPr>
          <w:rFonts w:ascii="Arial" w:hAnsi="Arial" w:cs="Arial"/>
        </w:rPr>
        <w:t>SASP markers and TDP-43 dysfunction are increased in LSC</w:t>
      </w:r>
      <w:r>
        <w:rPr>
          <w:rFonts w:ascii="Arial" w:hAnsi="Arial" w:cs="Arial"/>
        </w:rPr>
        <w:t>, but not sciatic nerve,</w:t>
      </w:r>
      <w:r w:rsidRPr="00A42B0E">
        <w:rPr>
          <w:rFonts w:ascii="Arial" w:hAnsi="Arial" w:cs="Arial"/>
        </w:rPr>
        <w:t xml:space="preserve"> from transgenic hSOD-G93A mice. </w:t>
      </w:r>
      <w:r>
        <w:rPr>
          <w:rFonts w:ascii="Arial" w:hAnsi="Arial" w:cs="Arial"/>
        </w:rPr>
        <w:t>Despite lack of increased</w:t>
      </w:r>
      <w:r w:rsidRPr="00A42B0E">
        <w:rPr>
          <w:rFonts w:ascii="Arial" w:hAnsi="Arial" w:cs="Arial"/>
        </w:rPr>
        <w:t xml:space="preserve"> </w:t>
      </w:r>
      <w:r w:rsidRPr="00A42B0E">
        <w:rPr>
          <w:rFonts w:ascii="Arial" w:hAnsi="Arial" w:cs="Arial"/>
          <w:i/>
        </w:rPr>
        <w:t>p16</w:t>
      </w:r>
      <w:r w:rsidRPr="00A42B0E">
        <w:rPr>
          <w:rFonts w:ascii="Arial" w:hAnsi="Arial" w:cs="Arial"/>
        </w:rPr>
        <w:t xml:space="preserve"> expression</w:t>
      </w:r>
      <w:r w:rsidR="00531E70">
        <w:rPr>
          <w:rFonts w:ascii="Arial" w:hAnsi="Arial" w:cs="Arial"/>
        </w:rPr>
        <w:t xml:space="preserve"> in sciatic nerve (c</w:t>
      </w:r>
      <w:r>
        <w:rPr>
          <w:rFonts w:ascii="Arial" w:hAnsi="Arial" w:cs="Arial"/>
        </w:rPr>
        <w:t xml:space="preserve">), similarly to LSC, cryptic exon in </w:t>
      </w:r>
      <w:r w:rsidRPr="00A42B0E">
        <w:rPr>
          <w:rFonts w:ascii="Arial" w:hAnsi="Arial" w:cs="Arial"/>
          <w:i/>
        </w:rPr>
        <w:t>Adipor2</w:t>
      </w:r>
      <w:r w:rsidRPr="00A42B0E">
        <w:rPr>
          <w:rFonts w:ascii="Arial" w:hAnsi="Arial" w:cs="Arial"/>
        </w:rPr>
        <w:t xml:space="preserve"> mRNA was more incorporated in </w:t>
      </w:r>
      <w:r>
        <w:rPr>
          <w:rFonts w:ascii="Arial" w:hAnsi="Arial" w:cs="Arial"/>
        </w:rPr>
        <w:t xml:space="preserve">sciatic nerves from </w:t>
      </w:r>
      <w:r w:rsidRPr="00A42B0E">
        <w:rPr>
          <w:rFonts w:ascii="Arial" w:hAnsi="Arial" w:cs="Arial"/>
        </w:rPr>
        <w:t>150-day-old transgenic mice</w:t>
      </w:r>
      <w:r w:rsidR="00531E70">
        <w:rPr>
          <w:rFonts w:ascii="Arial" w:hAnsi="Arial" w:cs="Arial"/>
        </w:rPr>
        <w:t xml:space="preserve"> </w:t>
      </w:r>
      <w:r w:rsidR="00531E70">
        <w:rPr>
          <w:rFonts w:ascii="Arial" w:hAnsi="Arial" w:cs="Arial"/>
        </w:rPr>
        <w:lastRenderedPageBreak/>
        <w:t>(d</w:t>
      </w:r>
      <w:r>
        <w:rPr>
          <w:rFonts w:ascii="Arial" w:hAnsi="Arial" w:cs="Arial"/>
        </w:rPr>
        <w:t xml:space="preserve">), in association with diminished total </w:t>
      </w:r>
      <w:r w:rsidRPr="00A42B0E">
        <w:rPr>
          <w:rFonts w:ascii="Arial" w:hAnsi="Arial" w:cs="Arial"/>
          <w:i/>
        </w:rPr>
        <w:t>Adipor2</w:t>
      </w:r>
      <w:r w:rsidRPr="00A42B0E">
        <w:rPr>
          <w:rFonts w:ascii="Arial" w:hAnsi="Arial" w:cs="Arial"/>
        </w:rPr>
        <w:t xml:space="preserve"> mRNA</w:t>
      </w:r>
      <w:r w:rsidR="00531E70">
        <w:rPr>
          <w:rFonts w:ascii="Arial" w:hAnsi="Arial" w:cs="Arial"/>
        </w:rPr>
        <w:t xml:space="preserve"> in both locations (e</w:t>
      </w:r>
      <w:r>
        <w:rPr>
          <w:rFonts w:ascii="Arial" w:hAnsi="Arial" w:cs="Arial"/>
        </w:rPr>
        <w:t>).</w:t>
      </w:r>
      <w:r w:rsidRPr="00A42B0E">
        <w:t xml:space="preserve"> </w:t>
      </w:r>
      <w:r w:rsidRPr="00A42B0E">
        <w:rPr>
          <w:rFonts w:ascii="Arial" w:hAnsi="Arial" w:cs="Arial"/>
          <w:i/>
        </w:rPr>
        <w:t>Il6</w:t>
      </w:r>
      <w:r w:rsidRPr="00A42B0E">
        <w:rPr>
          <w:rFonts w:ascii="Arial" w:hAnsi="Arial" w:cs="Arial"/>
        </w:rPr>
        <w:t xml:space="preserve">, </w:t>
      </w:r>
      <w:r w:rsidR="00531E70">
        <w:rPr>
          <w:rFonts w:ascii="Arial" w:hAnsi="Arial" w:cs="Arial"/>
          <w:i/>
        </w:rPr>
        <w:t>Adipor2</w:t>
      </w:r>
      <w:r w:rsidRPr="00A42B0E">
        <w:rPr>
          <w:rFonts w:ascii="Arial" w:hAnsi="Arial" w:cs="Arial"/>
          <w:i/>
        </w:rPr>
        <w:t>,</w:t>
      </w:r>
      <w:r w:rsidRPr="00A42B0E">
        <w:rPr>
          <w:rFonts w:ascii="Arial" w:hAnsi="Arial" w:cs="Arial"/>
        </w:rPr>
        <w:t xml:space="preserve"> and cryptic </w:t>
      </w:r>
      <w:r w:rsidRPr="00A42B0E">
        <w:rPr>
          <w:rFonts w:ascii="Arial" w:hAnsi="Arial" w:cs="Arial"/>
          <w:i/>
        </w:rPr>
        <w:t>Adipor2</w:t>
      </w:r>
      <w:r w:rsidRPr="00A42B0E">
        <w:rPr>
          <w:rFonts w:ascii="Arial" w:hAnsi="Arial" w:cs="Arial"/>
        </w:rPr>
        <w:t xml:space="preserve"> expression are expressed as mean ±SEM. ns p &gt; 0.05; *p &lt; 0.05; ***p &lt; 0.001; </w:t>
      </w:r>
      <w:r>
        <w:rPr>
          <w:rFonts w:ascii="Arial" w:hAnsi="Arial" w:cs="Arial"/>
        </w:rPr>
        <w:t>n=4 from each genotype and age.</w:t>
      </w:r>
    </w:p>
    <w:p w:rsidR="001816BC" w:rsidRDefault="00531E70" w:rsidP="001816BC">
      <w:pPr>
        <w:spacing w:line="360" w:lineRule="auto"/>
        <w:jc w:val="both"/>
        <w:rPr>
          <w:rFonts w:ascii="Arial" w:hAnsi="Arial" w:cs="Arial"/>
        </w:rPr>
      </w:pPr>
      <w:r>
        <w:rPr>
          <w:rFonts w:ascii="Arial" w:hAnsi="Arial" w:cs="Arial"/>
          <w:noProof/>
        </w:rPr>
        <w:drawing>
          <wp:inline distT="0" distB="0" distL="0" distR="0" wp14:anchorId="54A226E2">
            <wp:extent cx="6315710" cy="4462780"/>
            <wp:effectExtent l="0" t="0" r="889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15710" cy="4462780"/>
                    </a:xfrm>
                    <a:prstGeom prst="rect">
                      <a:avLst/>
                    </a:prstGeom>
                    <a:noFill/>
                  </pic:spPr>
                </pic:pic>
              </a:graphicData>
            </a:graphic>
          </wp:inline>
        </w:drawing>
      </w:r>
    </w:p>
    <w:p w:rsidR="001816BC" w:rsidRPr="008F6C47" w:rsidRDefault="001816BC" w:rsidP="001816BC">
      <w:pPr>
        <w:spacing w:line="360" w:lineRule="auto"/>
        <w:jc w:val="both"/>
        <w:rPr>
          <w:rFonts w:ascii="Arial" w:hAnsi="Arial" w:cs="Arial"/>
        </w:rPr>
      </w:pPr>
      <w:r>
        <w:rPr>
          <w:rFonts w:ascii="Arial" w:hAnsi="Arial" w:cs="Arial"/>
          <w:b/>
          <w:bCs/>
        </w:rPr>
        <w:t>Figure S4</w:t>
      </w:r>
      <w:r w:rsidRPr="008F6C47">
        <w:rPr>
          <w:rFonts w:ascii="Arial" w:hAnsi="Arial" w:cs="Arial"/>
          <w:b/>
          <w:bCs/>
        </w:rPr>
        <w:t>.</w:t>
      </w:r>
      <w:r>
        <w:rPr>
          <w:rFonts w:ascii="Arial" w:hAnsi="Arial" w:cs="Arial"/>
          <w:b/>
          <w:bCs/>
        </w:rPr>
        <w:t xml:space="preserve"> </w:t>
      </w:r>
      <w:r>
        <w:rPr>
          <w:rFonts w:ascii="Arial" w:hAnsi="Arial" w:cs="Arial"/>
        </w:rPr>
        <w:t>Senolytic treatment using Navitoclax does not slow the disease progression. A chronic treatment was established with five consecutive doses followed by two weeks of resting (a). Weight loss was not different between Navitoclax and vehicle experimental groups (b</w:t>
      </w:r>
      <w:r w:rsidR="00531E70">
        <w:rPr>
          <w:rFonts w:ascii="Arial" w:hAnsi="Arial" w:cs="Arial"/>
        </w:rPr>
        <w:t>) as senescence and SASP genes (c</w:t>
      </w:r>
      <w:r>
        <w:rPr>
          <w:rFonts w:ascii="Arial" w:hAnsi="Arial" w:cs="Arial"/>
        </w:rPr>
        <w:t>).</w:t>
      </w:r>
      <w:r w:rsidRPr="00B45F62">
        <w:rPr>
          <w:rFonts w:ascii="Arial" w:hAnsi="Arial" w:cs="Arial"/>
        </w:rPr>
        <w:t xml:space="preserve"> </w:t>
      </w:r>
      <w:r>
        <w:rPr>
          <w:rFonts w:ascii="Arial" w:hAnsi="Arial" w:cs="Arial"/>
        </w:rPr>
        <w:t>n=5 from each genotype.</w:t>
      </w:r>
    </w:p>
    <w:p w:rsidR="001816BC" w:rsidRPr="00A42B0E" w:rsidRDefault="001816BC" w:rsidP="001816BC">
      <w:pPr>
        <w:spacing w:line="360" w:lineRule="auto"/>
        <w:jc w:val="both"/>
        <w:rPr>
          <w:rFonts w:ascii="Arial" w:hAnsi="Arial" w:cs="Arial"/>
        </w:rPr>
      </w:pPr>
    </w:p>
    <w:p w:rsidR="001816BC" w:rsidRDefault="001816BC" w:rsidP="001816BC">
      <w:pPr>
        <w:spacing w:line="360" w:lineRule="auto"/>
        <w:jc w:val="both"/>
        <w:rPr>
          <w:rFonts w:ascii="Arial" w:hAnsi="Arial" w:cs="Arial"/>
        </w:rPr>
      </w:pPr>
    </w:p>
    <w:p w:rsidR="00531E70" w:rsidRDefault="00531E70">
      <w:pPr>
        <w:spacing w:after="160" w:line="259" w:lineRule="auto"/>
        <w:rPr>
          <w:rFonts w:ascii="Arial" w:hAnsi="Arial" w:cs="Arial"/>
        </w:rPr>
      </w:pPr>
      <w:r>
        <w:rPr>
          <w:rFonts w:ascii="Arial" w:hAnsi="Arial" w:cs="Arial"/>
        </w:rPr>
        <w:br w:type="page"/>
      </w:r>
    </w:p>
    <w:p w:rsidR="001816BC" w:rsidRDefault="001816BC" w:rsidP="001816BC">
      <w:pPr>
        <w:spacing w:line="360" w:lineRule="auto"/>
        <w:jc w:val="both"/>
        <w:rPr>
          <w:rFonts w:ascii="Arial" w:hAnsi="Arial" w:cs="Arial"/>
        </w:rPr>
      </w:pPr>
    </w:p>
    <w:p w:rsidR="001816BC" w:rsidRDefault="001816BC" w:rsidP="001816BC">
      <w:pPr>
        <w:spacing w:line="360" w:lineRule="auto"/>
        <w:jc w:val="both"/>
        <w:rPr>
          <w:rFonts w:ascii="Arial" w:hAnsi="Arial" w:cs="Arial"/>
        </w:rPr>
      </w:pPr>
      <w:r w:rsidRPr="003C6108">
        <w:rPr>
          <w:rFonts w:ascii="Arial" w:hAnsi="Arial" w:cs="Arial"/>
          <w:b/>
          <w:bCs/>
        </w:rPr>
        <w:t>Table 1.</w:t>
      </w:r>
      <w:r>
        <w:rPr>
          <w:rFonts w:ascii="Arial" w:hAnsi="Arial" w:cs="Arial"/>
        </w:rPr>
        <w:t xml:space="preserve"> SYBR Green probes used in </w:t>
      </w:r>
      <w:r w:rsidRPr="00BA6B0C">
        <w:rPr>
          <w:rFonts w:ascii="Arial" w:hAnsi="Arial" w:cs="Arial"/>
        </w:rPr>
        <w:t>RT-</w:t>
      </w:r>
      <w:r>
        <w:rPr>
          <w:rFonts w:ascii="Arial" w:hAnsi="Arial" w:cs="Arial"/>
        </w:rPr>
        <w:t>q</w:t>
      </w:r>
      <w:r w:rsidRPr="00BA6B0C">
        <w:rPr>
          <w:rFonts w:ascii="Arial" w:hAnsi="Arial" w:cs="Arial"/>
        </w:rPr>
        <w:t>PCR analysis.</w:t>
      </w:r>
    </w:p>
    <w:p w:rsidR="001816BC" w:rsidRDefault="001816BC" w:rsidP="00531E70">
      <w:pPr>
        <w:spacing w:line="360" w:lineRule="auto"/>
        <w:jc w:val="both"/>
        <w:rPr>
          <w:rFonts w:ascii="Arial" w:hAnsi="Arial" w:cs="Arial"/>
          <w:b/>
          <w:bCs/>
        </w:rPr>
      </w:pPr>
      <w:r>
        <w:rPr>
          <w:rFonts w:ascii="Arial" w:hAnsi="Arial" w:cs="Arial"/>
        </w:rPr>
        <w:t xml:space="preserve"> </w:t>
      </w:r>
    </w:p>
    <w:p w:rsidR="001816BC" w:rsidRDefault="001816BC" w:rsidP="001816BC">
      <w:pPr>
        <w:rPr>
          <w:rFonts w:ascii="Arial" w:hAnsi="Arial" w:cs="Arial"/>
          <w:b/>
          <w:bCs/>
        </w:rPr>
      </w:pPr>
    </w:p>
    <w:p w:rsidR="001816BC" w:rsidRPr="00B05E0C" w:rsidRDefault="001816BC" w:rsidP="001816BC">
      <w:pPr>
        <w:rPr>
          <w:rFonts w:ascii="Arial" w:hAnsi="Arial" w:cs="Arial"/>
          <w:b/>
          <w:bCs/>
        </w:rPr>
      </w:pPr>
      <w:r w:rsidRPr="00B05E0C">
        <w:rPr>
          <w:rFonts w:ascii="Arial" w:hAnsi="Arial" w:cs="Arial"/>
          <w:b/>
          <w:bCs/>
        </w:rPr>
        <w:t>Table 1.</w:t>
      </w:r>
    </w:p>
    <w:tbl>
      <w:tblPr>
        <w:tblStyle w:val="Tablaconcuadrcula"/>
        <w:tblW w:w="9248" w:type="dxa"/>
        <w:tblLook w:val="04A0" w:firstRow="1" w:lastRow="0" w:firstColumn="1" w:lastColumn="0" w:noHBand="0" w:noVBand="1"/>
      </w:tblPr>
      <w:tblGrid>
        <w:gridCol w:w="4624"/>
        <w:gridCol w:w="4624"/>
      </w:tblGrid>
      <w:tr w:rsidR="001816BC" w:rsidTr="00C60594">
        <w:trPr>
          <w:trHeight w:val="625"/>
        </w:trPr>
        <w:tc>
          <w:tcPr>
            <w:tcW w:w="4624" w:type="dxa"/>
            <w:shd w:val="clear" w:color="auto" w:fill="D9D9D9" w:themeFill="background1" w:themeFillShade="D9"/>
          </w:tcPr>
          <w:p w:rsidR="001816BC" w:rsidRPr="00AD370A" w:rsidRDefault="001816BC" w:rsidP="00C60594">
            <w:pPr>
              <w:jc w:val="center"/>
              <w:rPr>
                <w:rFonts w:ascii="Arial" w:hAnsi="Arial" w:cs="Arial"/>
                <w:b/>
              </w:rPr>
            </w:pPr>
            <w:r w:rsidRPr="00AD370A">
              <w:rPr>
                <w:rFonts w:ascii="Arial" w:hAnsi="Arial" w:cs="Arial"/>
                <w:b/>
              </w:rPr>
              <w:t>Gene</w:t>
            </w:r>
          </w:p>
        </w:tc>
        <w:tc>
          <w:tcPr>
            <w:tcW w:w="4624" w:type="dxa"/>
            <w:shd w:val="clear" w:color="auto" w:fill="D9D9D9" w:themeFill="background1" w:themeFillShade="D9"/>
          </w:tcPr>
          <w:p w:rsidR="001816BC" w:rsidRPr="00AD370A" w:rsidRDefault="001816BC" w:rsidP="00C60594">
            <w:pPr>
              <w:jc w:val="center"/>
              <w:rPr>
                <w:rFonts w:ascii="Arial" w:hAnsi="Arial" w:cs="Arial"/>
                <w:b/>
              </w:rPr>
            </w:pPr>
            <w:r>
              <w:rPr>
                <w:rFonts w:ascii="Arial" w:hAnsi="Arial" w:cs="Arial"/>
                <w:b/>
              </w:rPr>
              <w:t>Sequence</w:t>
            </w:r>
          </w:p>
        </w:tc>
      </w:tr>
      <w:tr w:rsidR="001816BC" w:rsidTr="00C60594">
        <w:trPr>
          <w:trHeight w:val="625"/>
        </w:trPr>
        <w:tc>
          <w:tcPr>
            <w:tcW w:w="4624" w:type="dxa"/>
          </w:tcPr>
          <w:p w:rsidR="001816BC" w:rsidRDefault="001816BC" w:rsidP="00C60594">
            <w:pPr>
              <w:jc w:val="both"/>
              <w:rPr>
                <w:rFonts w:ascii="Arial" w:hAnsi="Arial" w:cs="Arial"/>
              </w:rPr>
            </w:pPr>
            <w:r w:rsidRPr="00AD370A">
              <w:rPr>
                <w:rFonts w:ascii="Arial" w:hAnsi="Arial" w:cs="Arial"/>
                <w:i/>
              </w:rPr>
              <w:t>Actb</w:t>
            </w:r>
            <w:r>
              <w:rPr>
                <w:rFonts w:ascii="Arial" w:hAnsi="Arial" w:cs="Arial"/>
              </w:rPr>
              <w:t xml:space="preserve"> Fwd</w:t>
            </w:r>
          </w:p>
        </w:tc>
        <w:tc>
          <w:tcPr>
            <w:tcW w:w="4624" w:type="dxa"/>
          </w:tcPr>
          <w:p w:rsidR="001816BC" w:rsidRPr="00AD370A" w:rsidRDefault="001816BC" w:rsidP="00C60594">
            <w:pPr>
              <w:jc w:val="both"/>
              <w:rPr>
                <w:rFonts w:ascii="Arial" w:hAnsi="Arial" w:cs="Arial"/>
              </w:rPr>
            </w:pPr>
            <w:r w:rsidRPr="00AD370A">
              <w:rPr>
                <w:rFonts w:ascii="Arial" w:hAnsi="Arial" w:cs="Arial"/>
              </w:rPr>
              <w:t xml:space="preserve">GTGACGTTGACATCCGTAAAGA </w:t>
            </w:r>
          </w:p>
          <w:p w:rsidR="001816BC" w:rsidRDefault="001816BC" w:rsidP="00C60594">
            <w:pPr>
              <w:jc w:val="both"/>
              <w:rPr>
                <w:rFonts w:ascii="Arial" w:hAnsi="Arial" w:cs="Arial"/>
              </w:rPr>
            </w:pPr>
          </w:p>
        </w:tc>
      </w:tr>
      <w:tr w:rsidR="001816BC" w:rsidTr="00C60594">
        <w:trPr>
          <w:trHeight w:val="625"/>
        </w:trPr>
        <w:tc>
          <w:tcPr>
            <w:tcW w:w="4624" w:type="dxa"/>
          </w:tcPr>
          <w:p w:rsidR="001816BC" w:rsidRDefault="001816BC" w:rsidP="00C60594">
            <w:pPr>
              <w:jc w:val="both"/>
              <w:rPr>
                <w:rFonts w:ascii="Arial" w:hAnsi="Arial" w:cs="Arial"/>
              </w:rPr>
            </w:pPr>
            <w:r w:rsidRPr="00AD370A">
              <w:rPr>
                <w:rFonts w:ascii="Arial" w:hAnsi="Arial" w:cs="Arial"/>
                <w:i/>
              </w:rPr>
              <w:t>Actb</w:t>
            </w:r>
            <w:r>
              <w:rPr>
                <w:rFonts w:ascii="Arial" w:hAnsi="Arial" w:cs="Arial"/>
              </w:rPr>
              <w:t xml:space="preserve"> Rev</w:t>
            </w:r>
          </w:p>
        </w:tc>
        <w:tc>
          <w:tcPr>
            <w:tcW w:w="4624" w:type="dxa"/>
          </w:tcPr>
          <w:p w:rsidR="001816BC" w:rsidRPr="00AD370A" w:rsidRDefault="001816BC" w:rsidP="00C60594">
            <w:pPr>
              <w:jc w:val="both"/>
              <w:rPr>
                <w:rFonts w:ascii="Arial" w:hAnsi="Arial" w:cs="Arial"/>
              </w:rPr>
            </w:pPr>
            <w:r w:rsidRPr="00AD370A">
              <w:rPr>
                <w:rFonts w:ascii="Arial" w:hAnsi="Arial" w:cs="Arial"/>
              </w:rPr>
              <w:t xml:space="preserve">GCCGGACTCATCGTACTCC </w:t>
            </w:r>
          </w:p>
          <w:p w:rsidR="001816BC" w:rsidRDefault="001816BC" w:rsidP="00C60594">
            <w:pPr>
              <w:jc w:val="both"/>
              <w:rPr>
                <w:rFonts w:ascii="Arial" w:hAnsi="Arial" w:cs="Arial"/>
              </w:rPr>
            </w:pPr>
          </w:p>
        </w:tc>
      </w:tr>
      <w:tr w:rsidR="001816BC" w:rsidTr="00C60594">
        <w:trPr>
          <w:trHeight w:val="625"/>
        </w:trPr>
        <w:tc>
          <w:tcPr>
            <w:tcW w:w="4624" w:type="dxa"/>
          </w:tcPr>
          <w:p w:rsidR="001816BC" w:rsidRDefault="001816BC" w:rsidP="00C60594">
            <w:pPr>
              <w:jc w:val="both"/>
              <w:rPr>
                <w:rFonts w:ascii="Arial" w:hAnsi="Arial" w:cs="Arial"/>
              </w:rPr>
            </w:pPr>
            <w:r>
              <w:rPr>
                <w:rFonts w:ascii="Arial" w:hAnsi="Arial" w:cs="Arial"/>
                <w:i/>
              </w:rPr>
              <w:t xml:space="preserve">p16 </w:t>
            </w:r>
            <w:r>
              <w:rPr>
                <w:rFonts w:ascii="Arial" w:hAnsi="Arial" w:cs="Arial"/>
              </w:rPr>
              <w:t>Fwd</w:t>
            </w:r>
          </w:p>
        </w:tc>
        <w:tc>
          <w:tcPr>
            <w:tcW w:w="4624" w:type="dxa"/>
          </w:tcPr>
          <w:p w:rsidR="001816BC" w:rsidRPr="00AD370A" w:rsidRDefault="001816BC" w:rsidP="00C60594">
            <w:pPr>
              <w:jc w:val="both"/>
              <w:rPr>
                <w:rFonts w:ascii="Arial" w:hAnsi="Arial" w:cs="Arial"/>
              </w:rPr>
            </w:pPr>
            <w:r w:rsidRPr="00AD370A">
              <w:rPr>
                <w:rFonts w:ascii="Arial" w:hAnsi="Arial" w:cs="Arial"/>
              </w:rPr>
              <w:t>CCCAACGCCCCGAACT</w:t>
            </w:r>
          </w:p>
          <w:p w:rsidR="001816BC" w:rsidRDefault="001816BC" w:rsidP="00C60594">
            <w:pPr>
              <w:jc w:val="both"/>
              <w:rPr>
                <w:rFonts w:ascii="Arial" w:hAnsi="Arial" w:cs="Arial"/>
              </w:rPr>
            </w:pPr>
          </w:p>
        </w:tc>
      </w:tr>
      <w:tr w:rsidR="001816BC" w:rsidTr="00C60594">
        <w:trPr>
          <w:trHeight w:val="625"/>
        </w:trPr>
        <w:tc>
          <w:tcPr>
            <w:tcW w:w="4624" w:type="dxa"/>
          </w:tcPr>
          <w:p w:rsidR="001816BC" w:rsidRDefault="001816BC" w:rsidP="00C60594">
            <w:pPr>
              <w:jc w:val="both"/>
              <w:rPr>
                <w:rFonts w:ascii="Arial" w:hAnsi="Arial" w:cs="Arial"/>
              </w:rPr>
            </w:pPr>
            <w:r>
              <w:rPr>
                <w:rFonts w:ascii="Arial" w:hAnsi="Arial" w:cs="Arial"/>
                <w:i/>
              </w:rPr>
              <w:t>p</w:t>
            </w:r>
            <w:r w:rsidRPr="00AD370A">
              <w:rPr>
                <w:rFonts w:ascii="Arial" w:hAnsi="Arial" w:cs="Arial"/>
                <w:i/>
              </w:rPr>
              <w:t>16</w:t>
            </w:r>
            <w:r>
              <w:rPr>
                <w:rFonts w:ascii="Arial" w:hAnsi="Arial" w:cs="Arial"/>
              </w:rPr>
              <w:t xml:space="preserve"> Rev</w:t>
            </w:r>
          </w:p>
        </w:tc>
        <w:tc>
          <w:tcPr>
            <w:tcW w:w="4624" w:type="dxa"/>
          </w:tcPr>
          <w:p w:rsidR="001816BC" w:rsidRDefault="001816BC" w:rsidP="00C60594">
            <w:pPr>
              <w:jc w:val="both"/>
              <w:rPr>
                <w:rFonts w:ascii="Arial" w:hAnsi="Arial" w:cs="Arial"/>
              </w:rPr>
            </w:pPr>
            <w:r w:rsidRPr="00AD370A">
              <w:rPr>
                <w:rFonts w:ascii="Arial" w:hAnsi="Arial" w:cs="Arial"/>
              </w:rPr>
              <w:t>GCAGAAGAGCTGCTACGTGAA</w:t>
            </w:r>
          </w:p>
        </w:tc>
      </w:tr>
      <w:tr w:rsidR="001816BC" w:rsidTr="00C60594">
        <w:trPr>
          <w:trHeight w:val="625"/>
        </w:trPr>
        <w:tc>
          <w:tcPr>
            <w:tcW w:w="4624" w:type="dxa"/>
          </w:tcPr>
          <w:p w:rsidR="001816BC" w:rsidRDefault="001816BC" w:rsidP="00C60594">
            <w:pPr>
              <w:jc w:val="both"/>
              <w:rPr>
                <w:rFonts w:ascii="Arial" w:hAnsi="Arial" w:cs="Arial"/>
              </w:rPr>
            </w:pPr>
            <w:r w:rsidRPr="00AD370A">
              <w:rPr>
                <w:rFonts w:ascii="Arial" w:hAnsi="Arial" w:cs="Arial"/>
                <w:i/>
              </w:rPr>
              <w:t>Il1a</w:t>
            </w:r>
            <w:r>
              <w:rPr>
                <w:rFonts w:ascii="Arial" w:hAnsi="Arial" w:cs="Arial"/>
              </w:rPr>
              <w:t xml:space="preserve"> Fwd</w:t>
            </w:r>
          </w:p>
        </w:tc>
        <w:tc>
          <w:tcPr>
            <w:tcW w:w="4624" w:type="dxa"/>
          </w:tcPr>
          <w:p w:rsidR="001816BC" w:rsidRPr="00AD370A" w:rsidRDefault="001816BC" w:rsidP="00C60594">
            <w:pPr>
              <w:jc w:val="both"/>
              <w:rPr>
                <w:rFonts w:ascii="Arial" w:hAnsi="Arial" w:cs="Arial"/>
              </w:rPr>
            </w:pPr>
            <w:r w:rsidRPr="00AD370A">
              <w:rPr>
                <w:rFonts w:ascii="Arial" w:hAnsi="Arial" w:cs="Arial"/>
              </w:rPr>
              <w:t>AGCGCTCAAGGAGAAGACC</w:t>
            </w:r>
          </w:p>
          <w:p w:rsidR="001816BC" w:rsidRDefault="001816BC" w:rsidP="00C60594">
            <w:pPr>
              <w:jc w:val="both"/>
              <w:rPr>
                <w:rFonts w:ascii="Arial" w:hAnsi="Arial" w:cs="Arial"/>
              </w:rPr>
            </w:pPr>
          </w:p>
        </w:tc>
      </w:tr>
      <w:tr w:rsidR="001816BC" w:rsidTr="00C60594">
        <w:trPr>
          <w:trHeight w:val="625"/>
        </w:trPr>
        <w:tc>
          <w:tcPr>
            <w:tcW w:w="4624" w:type="dxa"/>
          </w:tcPr>
          <w:p w:rsidR="001816BC" w:rsidRDefault="001816BC" w:rsidP="00C60594">
            <w:pPr>
              <w:jc w:val="both"/>
              <w:rPr>
                <w:rFonts w:ascii="Arial" w:hAnsi="Arial" w:cs="Arial"/>
              </w:rPr>
            </w:pPr>
            <w:r w:rsidRPr="00AD370A">
              <w:rPr>
                <w:rFonts w:ascii="Arial" w:hAnsi="Arial" w:cs="Arial"/>
                <w:i/>
              </w:rPr>
              <w:t>Il1a</w:t>
            </w:r>
            <w:r>
              <w:rPr>
                <w:rFonts w:ascii="Arial" w:hAnsi="Arial" w:cs="Arial"/>
              </w:rPr>
              <w:t xml:space="preserve"> Rev</w:t>
            </w:r>
          </w:p>
        </w:tc>
        <w:tc>
          <w:tcPr>
            <w:tcW w:w="4624" w:type="dxa"/>
          </w:tcPr>
          <w:p w:rsidR="001816BC" w:rsidRDefault="001816BC" w:rsidP="00C60594">
            <w:pPr>
              <w:jc w:val="both"/>
              <w:rPr>
                <w:rFonts w:ascii="Arial" w:hAnsi="Arial" w:cs="Arial"/>
              </w:rPr>
            </w:pPr>
            <w:r w:rsidRPr="00AD370A">
              <w:rPr>
                <w:rFonts w:ascii="Arial" w:hAnsi="Arial" w:cs="Arial"/>
              </w:rPr>
              <w:t>CCAGAAGAAAATGAGGTCGG</w:t>
            </w:r>
          </w:p>
        </w:tc>
      </w:tr>
      <w:tr w:rsidR="001816BC" w:rsidTr="00C60594">
        <w:trPr>
          <w:trHeight w:val="625"/>
        </w:trPr>
        <w:tc>
          <w:tcPr>
            <w:tcW w:w="4624" w:type="dxa"/>
          </w:tcPr>
          <w:p w:rsidR="001816BC" w:rsidRDefault="001816BC" w:rsidP="00C60594">
            <w:pPr>
              <w:jc w:val="both"/>
              <w:rPr>
                <w:rFonts w:ascii="Arial" w:hAnsi="Arial" w:cs="Arial"/>
              </w:rPr>
            </w:pPr>
            <w:r w:rsidRPr="00AD370A">
              <w:rPr>
                <w:rFonts w:ascii="Arial" w:hAnsi="Arial" w:cs="Arial"/>
                <w:i/>
              </w:rPr>
              <w:t>Il6</w:t>
            </w:r>
            <w:r>
              <w:rPr>
                <w:rFonts w:ascii="Arial" w:hAnsi="Arial" w:cs="Arial"/>
              </w:rPr>
              <w:t xml:space="preserve"> Fwd</w:t>
            </w:r>
          </w:p>
        </w:tc>
        <w:tc>
          <w:tcPr>
            <w:tcW w:w="4624" w:type="dxa"/>
          </w:tcPr>
          <w:p w:rsidR="001816BC" w:rsidRPr="00AD370A" w:rsidRDefault="001816BC" w:rsidP="00C60594">
            <w:pPr>
              <w:jc w:val="both"/>
              <w:rPr>
                <w:rFonts w:ascii="Arial" w:hAnsi="Arial" w:cs="Arial"/>
              </w:rPr>
            </w:pPr>
            <w:r w:rsidRPr="00AD370A">
              <w:rPr>
                <w:rFonts w:ascii="Arial" w:hAnsi="Arial" w:cs="Arial"/>
              </w:rPr>
              <w:t>ACCAGAGGAAATTTTCAATAGGC</w:t>
            </w:r>
          </w:p>
          <w:p w:rsidR="001816BC" w:rsidRDefault="001816BC" w:rsidP="00C60594">
            <w:pPr>
              <w:jc w:val="both"/>
              <w:rPr>
                <w:rFonts w:ascii="Arial" w:hAnsi="Arial" w:cs="Arial"/>
              </w:rPr>
            </w:pPr>
          </w:p>
        </w:tc>
      </w:tr>
      <w:tr w:rsidR="001816BC" w:rsidTr="00C60594">
        <w:trPr>
          <w:trHeight w:val="625"/>
        </w:trPr>
        <w:tc>
          <w:tcPr>
            <w:tcW w:w="4624" w:type="dxa"/>
          </w:tcPr>
          <w:p w:rsidR="001816BC" w:rsidRDefault="001816BC" w:rsidP="00C60594">
            <w:pPr>
              <w:jc w:val="both"/>
              <w:rPr>
                <w:rFonts w:ascii="Arial" w:hAnsi="Arial" w:cs="Arial"/>
              </w:rPr>
            </w:pPr>
            <w:r w:rsidRPr="00AD370A">
              <w:rPr>
                <w:rFonts w:ascii="Arial" w:hAnsi="Arial" w:cs="Arial"/>
                <w:i/>
              </w:rPr>
              <w:t xml:space="preserve">Il6 </w:t>
            </w:r>
            <w:r>
              <w:rPr>
                <w:rFonts w:ascii="Arial" w:hAnsi="Arial" w:cs="Arial"/>
              </w:rPr>
              <w:t>Rev</w:t>
            </w:r>
          </w:p>
        </w:tc>
        <w:tc>
          <w:tcPr>
            <w:tcW w:w="4624" w:type="dxa"/>
          </w:tcPr>
          <w:p w:rsidR="001816BC" w:rsidRDefault="001816BC" w:rsidP="00C60594">
            <w:pPr>
              <w:jc w:val="both"/>
              <w:rPr>
                <w:rFonts w:ascii="Arial" w:hAnsi="Arial" w:cs="Arial"/>
              </w:rPr>
            </w:pPr>
            <w:r w:rsidRPr="00AD370A">
              <w:rPr>
                <w:rFonts w:ascii="Arial" w:hAnsi="Arial" w:cs="Arial"/>
              </w:rPr>
              <w:t>TGATGCACTTGCAGAAAACA</w:t>
            </w:r>
          </w:p>
        </w:tc>
      </w:tr>
      <w:tr w:rsidR="001816BC" w:rsidTr="00C60594">
        <w:trPr>
          <w:trHeight w:val="625"/>
        </w:trPr>
        <w:tc>
          <w:tcPr>
            <w:tcW w:w="4624" w:type="dxa"/>
          </w:tcPr>
          <w:p w:rsidR="001816BC" w:rsidRDefault="001816BC" w:rsidP="00C60594">
            <w:pPr>
              <w:jc w:val="both"/>
              <w:rPr>
                <w:rFonts w:ascii="Arial" w:hAnsi="Arial" w:cs="Arial"/>
              </w:rPr>
            </w:pPr>
            <w:r w:rsidRPr="00AD370A">
              <w:rPr>
                <w:rFonts w:ascii="Arial" w:hAnsi="Arial" w:cs="Arial"/>
                <w:i/>
              </w:rPr>
              <w:t>Ifna</w:t>
            </w:r>
            <w:r>
              <w:rPr>
                <w:rFonts w:ascii="Arial" w:hAnsi="Arial" w:cs="Arial"/>
              </w:rPr>
              <w:t xml:space="preserve"> Fwd</w:t>
            </w:r>
          </w:p>
        </w:tc>
        <w:tc>
          <w:tcPr>
            <w:tcW w:w="4624" w:type="dxa"/>
          </w:tcPr>
          <w:p w:rsidR="001816BC" w:rsidRPr="00AD370A" w:rsidRDefault="001816BC" w:rsidP="00C60594">
            <w:pPr>
              <w:jc w:val="both"/>
              <w:rPr>
                <w:rFonts w:ascii="Arial" w:hAnsi="Arial" w:cs="Arial"/>
              </w:rPr>
            </w:pPr>
            <w:r w:rsidRPr="00AD370A">
              <w:rPr>
                <w:rFonts w:ascii="Arial" w:hAnsi="Arial" w:cs="Arial"/>
              </w:rPr>
              <w:t>ATGGCTAGGCTCAGCACTTTC</w:t>
            </w:r>
          </w:p>
          <w:p w:rsidR="001816BC" w:rsidRPr="00AD370A" w:rsidRDefault="001816BC" w:rsidP="00C60594">
            <w:pPr>
              <w:jc w:val="both"/>
              <w:rPr>
                <w:rFonts w:ascii="Arial" w:hAnsi="Arial" w:cs="Arial"/>
              </w:rPr>
            </w:pPr>
          </w:p>
          <w:p w:rsidR="001816BC" w:rsidRDefault="001816BC" w:rsidP="00C60594">
            <w:pPr>
              <w:jc w:val="both"/>
              <w:rPr>
                <w:rFonts w:ascii="Arial" w:hAnsi="Arial" w:cs="Arial"/>
              </w:rPr>
            </w:pPr>
          </w:p>
        </w:tc>
      </w:tr>
      <w:tr w:rsidR="001816BC" w:rsidTr="00C60594">
        <w:trPr>
          <w:trHeight w:val="625"/>
        </w:trPr>
        <w:tc>
          <w:tcPr>
            <w:tcW w:w="4624" w:type="dxa"/>
          </w:tcPr>
          <w:p w:rsidR="001816BC" w:rsidRDefault="001816BC" w:rsidP="00C60594">
            <w:pPr>
              <w:jc w:val="both"/>
              <w:rPr>
                <w:rFonts w:ascii="Arial" w:hAnsi="Arial" w:cs="Arial"/>
              </w:rPr>
            </w:pPr>
            <w:r w:rsidRPr="00AD370A">
              <w:rPr>
                <w:rFonts w:ascii="Arial" w:hAnsi="Arial" w:cs="Arial"/>
                <w:i/>
              </w:rPr>
              <w:t>Ifna</w:t>
            </w:r>
            <w:r>
              <w:rPr>
                <w:rFonts w:ascii="Arial" w:hAnsi="Arial" w:cs="Arial"/>
              </w:rPr>
              <w:t xml:space="preserve"> Rev</w:t>
            </w:r>
          </w:p>
        </w:tc>
        <w:tc>
          <w:tcPr>
            <w:tcW w:w="4624" w:type="dxa"/>
          </w:tcPr>
          <w:p w:rsidR="001816BC" w:rsidRPr="00AD370A" w:rsidRDefault="001816BC" w:rsidP="00C60594">
            <w:pPr>
              <w:jc w:val="both"/>
              <w:rPr>
                <w:rFonts w:ascii="Arial" w:hAnsi="Arial" w:cs="Arial"/>
              </w:rPr>
            </w:pPr>
            <w:r w:rsidRPr="00AD370A">
              <w:rPr>
                <w:rFonts w:ascii="Arial" w:hAnsi="Arial" w:cs="Arial"/>
              </w:rPr>
              <w:t>CTCACTCAGACTTGCCAGCA</w:t>
            </w:r>
          </w:p>
          <w:p w:rsidR="001816BC" w:rsidRDefault="001816BC" w:rsidP="00C60594">
            <w:pPr>
              <w:jc w:val="both"/>
              <w:rPr>
                <w:rFonts w:ascii="Arial" w:hAnsi="Arial" w:cs="Arial"/>
              </w:rPr>
            </w:pPr>
          </w:p>
        </w:tc>
      </w:tr>
      <w:tr w:rsidR="001816BC" w:rsidTr="00C60594">
        <w:trPr>
          <w:trHeight w:val="625"/>
        </w:trPr>
        <w:tc>
          <w:tcPr>
            <w:tcW w:w="4624" w:type="dxa"/>
          </w:tcPr>
          <w:p w:rsidR="001816BC" w:rsidRDefault="001816BC" w:rsidP="00C60594">
            <w:pPr>
              <w:jc w:val="both"/>
              <w:rPr>
                <w:rFonts w:ascii="Arial" w:hAnsi="Arial" w:cs="Arial"/>
              </w:rPr>
            </w:pPr>
            <w:r w:rsidRPr="00AD370A">
              <w:rPr>
                <w:rFonts w:ascii="Arial" w:hAnsi="Arial" w:cs="Arial"/>
                <w:i/>
              </w:rPr>
              <w:lastRenderedPageBreak/>
              <w:t>Ifnb</w:t>
            </w:r>
            <w:r>
              <w:rPr>
                <w:rFonts w:ascii="Arial" w:hAnsi="Arial" w:cs="Arial"/>
              </w:rPr>
              <w:t xml:space="preserve"> Fwd</w:t>
            </w:r>
          </w:p>
        </w:tc>
        <w:tc>
          <w:tcPr>
            <w:tcW w:w="4624" w:type="dxa"/>
          </w:tcPr>
          <w:p w:rsidR="001816BC" w:rsidRDefault="001816BC" w:rsidP="00C60594">
            <w:pPr>
              <w:jc w:val="both"/>
              <w:rPr>
                <w:rFonts w:ascii="Arial" w:hAnsi="Arial" w:cs="Arial"/>
              </w:rPr>
            </w:pPr>
            <w:r w:rsidRPr="00AD370A">
              <w:rPr>
                <w:rFonts w:ascii="Arial" w:hAnsi="Arial" w:cs="Arial"/>
              </w:rPr>
              <w:t>AGCTCCAAGAAAGGACGAACA</w:t>
            </w:r>
          </w:p>
        </w:tc>
      </w:tr>
      <w:tr w:rsidR="001816BC" w:rsidTr="00C60594">
        <w:trPr>
          <w:trHeight w:val="625"/>
        </w:trPr>
        <w:tc>
          <w:tcPr>
            <w:tcW w:w="4624" w:type="dxa"/>
          </w:tcPr>
          <w:p w:rsidR="001816BC" w:rsidRDefault="001816BC" w:rsidP="00C60594">
            <w:pPr>
              <w:jc w:val="both"/>
              <w:rPr>
                <w:rFonts w:ascii="Arial" w:hAnsi="Arial" w:cs="Arial"/>
              </w:rPr>
            </w:pPr>
            <w:r w:rsidRPr="00AD370A">
              <w:rPr>
                <w:rFonts w:ascii="Arial" w:hAnsi="Arial" w:cs="Arial"/>
                <w:i/>
              </w:rPr>
              <w:t>Ifnb</w:t>
            </w:r>
            <w:r>
              <w:rPr>
                <w:rFonts w:ascii="Arial" w:hAnsi="Arial" w:cs="Arial"/>
              </w:rPr>
              <w:t xml:space="preserve"> Rev</w:t>
            </w:r>
          </w:p>
        </w:tc>
        <w:tc>
          <w:tcPr>
            <w:tcW w:w="4624" w:type="dxa"/>
          </w:tcPr>
          <w:p w:rsidR="001816BC" w:rsidRDefault="001816BC" w:rsidP="00C60594">
            <w:pPr>
              <w:jc w:val="both"/>
              <w:rPr>
                <w:rFonts w:ascii="Arial" w:hAnsi="Arial" w:cs="Arial"/>
              </w:rPr>
            </w:pPr>
            <w:r w:rsidRPr="00AD370A">
              <w:rPr>
                <w:rFonts w:ascii="Arial" w:hAnsi="Arial" w:cs="Arial"/>
              </w:rPr>
              <w:t>GCCCTGTAGGTGAGGTTGAT</w:t>
            </w:r>
          </w:p>
        </w:tc>
      </w:tr>
      <w:tr w:rsidR="001816BC" w:rsidTr="00C60594">
        <w:trPr>
          <w:trHeight w:val="625"/>
        </w:trPr>
        <w:tc>
          <w:tcPr>
            <w:tcW w:w="4624" w:type="dxa"/>
          </w:tcPr>
          <w:p w:rsidR="001816BC" w:rsidRDefault="001816BC" w:rsidP="00C60594">
            <w:pPr>
              <w:jc w:val="both"/>
              <w:rPr>
                <w:rFonts w:ascii="Arial" w:hAnsi="Arial" w:cs="Arial"/>
              </w:rPr>
            </w:pPr>
            <w:r w:rsidRPr="00AD370A">
              <w:rPr>
                <w:rFonts w:ascii="Arial" w:hAnsi="Arial" w:cs="Arial"/>
                <w:i/>
              </w:rPr>
              <w:t>Adipor2</w:t>
            </w:r>
            <w:r>
              <w:rPr>
                <w:rFonts w:ascii="Arial" w:hAnsi="Arial" w:cs="Arial"/>
              </w:rPr>
              <w:t xml:space="preserve"> Fwd</w:t>
            </w:r>
          </w:p>
        </w:tc>
        <w:tc>
          <w:tcPr>
            <w:tcW w:w="4624" w:type="dxa"/>
          </w:tcPr>
          <w:p w:rsidR="001816BC" w:rsidRDefault="001816BC" w:rsidP="00C60594">
            <w:pPr>
              <w:jc w:val="both"/>
              <w:rPr>
                <w:rFonts w:ascii="Arial" w:hAnsi="Arial" w:cs="Arial"/>
              </w:rPr>
            </w:pPr>
            <w:r w:rsidRPr="00207E5E">
              <w:rPr>
                <w:rFonts w:ascii="Arial" w:hAnsi="Arial" w:cs="Arial"/>
              </w:rPr>
              <w:t>TGTTTGTAAGGTGTGGGAAGG</w:t>
            </w:r>
          </w:p>
        </w:tc>
      </w:tr>
      <w:tr w:rsidR="001816BC" w:rsidTr="00C60594">
        <w:trPr>
          <w:trHeight w:val="625"/>
        </w:trPr>
        <w:tc>
          <w:tcPr>
            <w:tcW w:w="4624" w:type="dxa"/>
          </w:tcPr>
          <w:p w:rsidR="001816BC" w:rsidRDefault="001816BC" w:rsidP="00C60594">
            <w:pPr>
              <w:jc w:val="both"/>
              <w:rPr>
                <w:rFonts w:ascii="Arial" w:hAnsi="Arial" w:cs="Arial"/>
              </w:rPr>
            </w:pPr>
            <w:r w:rsidRPr="00AD370A">
              <w:rPr>
                <w:rFonts w:ascii="Arial" w:hAnsi="Arial" w:cs="Arial"/>
                <w:i/>
              </w:rPr>
              <w:t>Adipor2</w:t>
            </w:r>
            <w:r>
              <w:rPr>
                <w:rFonts w:ascii="Arial" w:hAnsi="Arial" w:cs="Arial"/>
              </w:rPr>
              <w:t xml:space="preserve"> Rev</w:t>
            </w:r>
          </w:p>
        </w:tc>
        <w:tc>
          <w:tcPr>
            <w:tcW w:w="4624" w:type="dxa"/>
          </w:tcPr>
          <w:p w:rsidR="001816BC" w:rsidRDefault="001816BC" w:rsidP="00C60594">
            <w:pPr>
              <w:jc w:val="both"/>
              <w:rPr>
                <w:rFonts w:ascii="Arial" w:hAnsi="Arial" w:cs="Arial"/>
              </w:rPr>
            </w:pPr>
            <w:r w:rsidRPr="00207E5E">
              <w:rPr>
                <w:rFonts w:ascii="Arial" w:hAnsi="Arial" w:cs="Arial"/>
              </w:rPr>
              <w:t>GTTGCCCGTCTCTGTGTGTAT</w:t>
            </w:r>
          </w:p>
        </w:tc>
      </w:tr>
      <w:tr w:rsidR="001816BC" w:rsidTr="00C60594">
        <w:trPr>
          <w:trHeight w:val="625"/>
        </w:trPr>
        <w:tc>
          <w:tcPr>
            <w:tcW w:w="4624" w:type="dxa"/>
          </w:tcPr>
          <w:p w:rsidR="001816BC" w:rsidRDefault="001816BC" w:rsidP="00C60594">
            <w:pPr>
              <w:jc w:val="both"/>
              <w:rPr>
                <w:rFonts w:ascii="Arial" w:hAnsi="Arial" w:cs="Arial"/>
              </w:rPr>
            </w:pPr>
            <w:r w:rsidRPr="00AD370A">
              <w:rPr>
                <w:rFonts w:ascii="Arial" w:hAnsi="Arial" w:cs="Arial"/>
                <w:i/>
              </w:rPr>
              <w:t>Adipor2</w:t>
            </w:r>
            <w:r>
              <w:rPr>
                <w:rFonts w:ascii="Arial" w:hAnsi="Arial" w:cs="Arial"/>
              </w:rPr>
              <w:t xml:space="preserve"> cryptic Fwd</w:t>
            </w:r>
          </w:p>
        </w:tc>
        <w:tc>
          <w:tcPr>
            <w:tcW w:w="4624" w:type="dxa"/>
          </w:tcPr>
          <w:p w:rsidR="001816BC" w:rsidRDefault="001816BC" w:rsidP="00C60594">
            <w:pPr>
              <w:jc w:val="both"/>
              <w:rPr>
                <w:rFonts w:ascii="Arial" w:hAnsi="Arial" w:cs="Arial"/>
              </w:rPr>
            </w:pPr>
            <w:r w:rsidRPr="00207E5E">
              <w:rPr>
                <w:rFonts w:ascii="Arial" w:hAnsi="Arial" w:cs="Arial"/>
              </w:rPr>
              <w:t>AGAAGTGGAGTTACAATTGTG</w:t>
            </w:r>
          </w:p>
        </w:tc>
      </w:tr>
      <w:tr w:rsidR="001816BC" w:rsidTr="00C60594">
        <w:trPr>
          <w:trHeight w:val="625"/>
        </w:trPr>
        <w:tc>
          <w:tcPr>
            <w:tcW w:w="4624" w:type="dxa"/>
          </w:tcPr>
          <w:p w:rsidR="001816BC" w:rsidRDefault="001816BC" w:rsidP="00C60594">
            <w:pPr>
              <w:jc w:val="both"/>
              <w:rPr>
                <w:rFonts w:ascii="Arial" w:hAnsi="Arial" w:cs="Arial"/>
              </w:rPr>
            </w:pPr>
            <w:r w:rsidRPr="00AD370A">
              <w:rPr>
                <w:rFonts w:ascii="Arial" w:hAnsi="Arial" w:cs="Arial"/>
                <w:i/>
              </w:rPr>
              <w:t>Adipor2</w:t>
            </w:r>
            <w:r>
              <w:rPr>
                <w:rFonts w:ascii="Arial" w:hAnsi="Arial" w:cs="Arial"/>
              </w:rPr>
              <w:t xml:space="preserve"> cryptic Rev</w:t>
            </w:r>
          </w:p>
        </w:tc>
        <w:tc>
          <w:tcPr>
            <w:tcW w:w="4624" w:type="dxa"/>
          </w:tcPr>
          <w:p w:rsidR="001816BC" w:rsidRDefault="001816BC" w:rsidP="00C60594">
            <w:pPr>
              <w:jc w:val="both"/>
              <w:rPr>
                <w:rFonts w:ascii="Arial" w:hAnsi="Arial" w:cs="Arial"/>
              </w:rPr>
            </w:pPr>
            <w:r w:rsidRPr="00207E5E">
              <w:rPr>
                <w:rFonts w:ascii="Arial" w:hAnsi="Arial" w:cs="Arial"/>
              </w:rPr>
              <w:t>AAACAAACTCTTCCATTCGTT</w:t>
            </w:r>
          </w:p>
        </w:tc>
      </w:tr>
      <w:tr w:rsidR="001816BC" w:rsidTr="00C60594">
        <w:trPr>
          <w:trHeight w:val="625"/>
        </w:trPr>
        <w:tc>
          <w:tcPr>
            <w:tcW w:w="4624" w:type="dxa"/>
          </w:tcPr>
          <w:p w:rsidR="001816BC" w:rsidRPr="00AD370A" w:rsidRDefault="001816BC" w:rsidP="00C60594">
            <w:pPr>
              <w:jc w:val="both"/>
              <w:rPr>
                <w:rFonts w:ascii="Arial" w:hAnsi="Arial" w:cs="Arial"/>
                <w:i/>
              </w:rPr>
            </w:pPr>
            <w:r>
              <w:rPr>
                <w:rFonts w:ascii="Arial" w:hAnsi="Arial" w:cs="Arial"/>
                <w:i/>
              </w:rPr>
              <w:t xml:space="preserve">p21 </w:t>
            </w:r>
            <w:r w:rsidRPr="00642E94">
              <w:rPr>
                <w:rFonts w:ascii="Arial" w:hAnsi="Arial" w:cs="Arial"/>
              </w:rPr>
              <w:t>Fwd</w:t>
            </w:r>
          </w:p>
        </w:tc>
        <w:tc>
          <w:tcPr>
            <w:tcW w:w="4624" w:type="dxa"/>
          </w:tcPr>
          <w:p w:rsidR="001816BC" w:rsidRPr="00207E5E" w:rsidRDefault="001816BC" w:rsidP="00C60594">
            <w:pPr>
              <w:jc w:val="both"/>
              <w:rPr>
                <w:rFonts w:ascii="Arial" w:hAnsi="Arial" w:cs="Arial"/>
              </w:rPr>
            </w:pPr>
            <w:r>
              <w:rPr>
                <w:rFonts w:ascii="Arial" w:hAnsi="Arial" w:cs="Arial"/>
              </w:rPr>
              <w:t>TTGCCAGCAGAATAAAAGGTG</w:t>
            </w:r>
          </w:p>
        </w:tc>
      </w:tr>
      <w:tr w:rsidR="001816BC" w:rsidTr="00C60594">
        <w:trPr>
          <w:trHeight w:val="625"/>
        </w:trPr>
        <w:tc>
          <w:tcPr>
            <w:tcW w:w="4624" w:type="dxa"/>
          </w:tcPr>
          <w:p w:rsidR="001816BC" w:rsidRDefault="001816BC" w:rsidP="00C60594">
            <w:pPr>
              <w:jc w:val="both"/>
              <w:rPr>
                <w:rFonts w:ascii="Arial" w:hAnsi="Arial" w:cs="Arial"/>
                <w:i/>
              </w:rPr>
            </w:pPr>
            <w:r>
              <w:rPr>
                <w:rFonts w:ascii="Arial" w:hAnsi="Arial" w:cs="Arial"/>
                <w:i/>
              </w:rPr>
              <w:t>p21 R</w:t>
            </w:r>
            <w:r w:rsidRPr="00642E94">
              <w:rPr>
                <w:rFonts w:ascii="Arial" w:hAnsi="Arial" w:cs="Arial"/>
              </w:rPr>
              <w:t>ev</w:t>
            </w:r>
          </w:p>
        </w:tc>
        <w:tc>
          <w:tcPr>
            <w:tcW w:w="4624" w:type="dxa"/>
          </w:tcPr>
          <w:p w:rsidR="001816BC" w:rsidRPr="00207E5E" w:rsidRDefault="001816BC" w:rsidP="00C60594">
            <w:pPr>
              <w:jc w:val="both"/>
              <w:rPr>
                <w:rFonts w:ascii="Arial" w:hAnsi="Arial" w:cs="Arial"/>
              </w:rPr>
            </w:pPr>
            <w:r>
              <w:rPr>
                <w:rFonts w:ascii="Arial" w:hAnsi="Arial" w:cs="Arial"/>
              </w:rPr>
              <w:t>TTTGCTCCTGTGCGGAAC</w:t>
            </w:r>
          </w:p>
        </w:tc>
      </w:tr>
    </w:tbl>
    <w:p w:rsidR="001816BC" w:rsidRDefault="001816BC" w:rsidP="001816BC">
      <w:pPr>
        <w:rPr>
          <w:rFonts w:ascii="Arial" w:hAnsi="Arial" w:cs="Arial"/>
        </w:rPr>
      </w:pPr>
    </w:p>
    <w:p w:rsidR="001816BC" w:rsidRDefault="001816BC" w:rsidP="001816BC">
      <w:pPr>
        <w:rPr>
          <w:rFonts w:ascii="Arial" w:hAnsi="Arial" w:cs="Arial"/>
        </w:rPr>
      </w:pPr>
    </w:p>
    <w:p w:rsidR="001816BC" w:rsidRDefault="001816BC" w:rsidP="001816BC">
      <w:pPr>
        <w:rPr>
          <w:rFonts w:ascii="Arial" w:hAnsi="Arial" w:cs="Arial"/>
        </w:rPr>
      </w:pPr>
    </w:p>
    <w:p w:rsidR="001816BC" w:rsidRDefault="001816BC" w:rsidP="001816BC">
      <w:pPr>
        <w:rPr>
          <w:rFonts w:ascii="Arial" w:hAnsi="Arial" w:cs="Arial"/>
        </w:rPr>
      </w:pPr>
    </w:p>
    <w:p w:rsidR="001816BC" w:rsidRDefault="001816BC" w:rsidP="001816BC">
      <w:pPr>
        <w:rPr>
          <w:rFonts w:ascii="Arial" w:hAnsi="Arial" w:cs="Arial"/>
        </w:rPr>
      </w:pPr>
    </w:p>
    <w:p w:rsidR="001816BC" w:rsidRDefault="001816BC" w:rsidP="001816BC">
      <w:pPr>
        <w:rPr>
          <w:rFonts w:ascii="Arial" w:hAnsi="Arial" w:cs="Arial"/>
        </w:rPr>
      </w:pPr>
    </w:p>
    <w:p w:rsidR="001816BC" w:rsidRDefault="001816BC" w:rsidP="001816BC">
      <w:pPr>
        <w:rPr>
          <w:rFonts w:ascii="Arial" w:hAnsi="Arial" w:cs="Arial"/>
        </w:rPr>
      </w:pPr>
    </w:p>
    <w:p w:rsidR="001816BC" w:rsidRDefault="001816BC" w:rsidP="001816BC">
      <w:pPr>
        <w:rPr>
          <w:rFonts w:ascii="Arial" w:hAnsi="Arial" w:cs="Arial"/>
        </w:rPr>
      </w:pPr>
    </w:p>
    <w:p w:rsidR="001816BC" w:rsidRDefault="001816BC" w:rsidP="001816BC">
      <w:pPr>
        <w:rPr>
          <w:rFonts w:ascii="Arial" w:hAnsi="Arial" w:cs="Arial"/>
        </w:rPr>
      </w:pPr>
    </w:p>
    <w:p w:rsidR="001816BC" w:rsidRDefault="001816BC" w:rsidP="001816BC">
      <w:pPr>
        <w:rPr>
          <w:rFonts w:ascii="Arial" w:hAnsi="Arial" w:cs="Arial"/>
        </w:rPr>
      </w:pPr>
    </w:p>
    <w:p w:rsidR="001816BC" w:rsidRDefault="001816BC" w:rsidP="001816BC">
      <w:pPr>
        <w:rPr>
          <w:rFonts w:ascii="Arial" w:hAnsi="Arial" w:cs="Arial"/>
        </w:rPr>
      </w:pPr>
    </w:p>
    <w:p w:rsidR="001816BC" w:rsidRPr="00A22A6A" w:rsidRDefault="001816BC" w:rsidP="001816BC">
      <w:pPr>
        <w:rPr>
          <w:rFonts w:ascii="Arial" w:hAnsi="Arial" w:cs="Arial"/>
        </w:rPr>
      </w:pPr>
    </w:p>
    <w:p w:rsidR="000C0963" w:rsidRDefault="00FF614F"/>
    <w:sectPr w:rsidR="000C0963" w:rsidSect="00D35C6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TEzNDE2NTIyMjCzNDBT0lEKTi0uzszPAykwrAUAYe7ltSwAAAA="/>
  </w:docVars>
  <w:rsids>
    <w:rsidRoot w:val="001816BC"/>
    <w:rsid w:val="001816BC"/>
    <w:rsid w:val="00190AB0"/>
    <w:rsid w:val="00531E70"/>
    <w:rsid w:val="005C21E9"/>
    <w:rsid w:val="006C15DD"/>
    <w:rsid w:val="009B1FE8"/>
    <w:rsid w:val="00A11B25"/>
    <w:rsid w:val="00A30ACB"/>
    <w:rsid w:val="00E00F75"/>
    <w:rsid w:val="00FF61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E41378"/>
  <w15:chartTrackingRefBased/>
  <w15:docId w15:val="{C02247E2-DA9C-4DAB-979D-4B100E6062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816BC"/>
    <w:pPr>
      <w:spacing w:after="200" w:line="276" w:lineRule="auto"/>
    </w:pPr>
    <w:rPr>
      <w:rFonts w:eastAsiaTheme="minorEastAsi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1816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10</Pages>
  <Words>1651</Words>
  <Characters>9417</Characters>
  <Application>Microsoft Office Word</Application>
  <DocSecurity>0</DocSecurity>
  <Lines>78</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 portero</dc:creator>
  <cp:keywords/>
  <dc:description/>
  <cp:lastModifiedBy>joan portero</cp:lastModifiedBy>
  <cp:revision>5</cp:revision>
  <dcterms:created xsi:type="dcterms:W3CDTF">2021-01-08T21:19:00Z</dcterms:created>
  <dcterms:modified xsi:type="dcterms:W3CDTF">2021-01-08T21:49:00Z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ileId">
    <vt:lpwstr>1335527</vt:lpwstr>
  </property>
  <property fmtid="{D5CDD505-2E9C-101B-9397-08002B2CF9AE}" pid="3" name="ProjectId">
    <vt:lpwstr>0</vt:lpwstr>
  </property>
  <property fmtid="{D5CDD505-2E9C-101B-9397-08002B2CF9AE}" pid="4" name="InsertAsFootnote">
    <vt:lpwstr>False</vt:lpwstr>
  </property>
  <property fmtid="{D5CDD505-2E9C-101B-9397-08002B2CF9AE}" pid="5" name="StyleId">
    <vt:lpwstr>http://www.zotero.org/styles/vancouver</vt:lpwstr>
  </property>
</Properties>
</file>