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406C" w14:textId="5FC94A02" w:rsidR="00AC4171" w:rsidRPr="00AC4171" w:rsidRDefault="00BD69C0" w:rsidP="00BA60C5">
      <w:pPr>
        <w:spacing w:line="360" w:lineRule="auto"/>
        <w:jc w:val="left"/>
        <w:rPr>
          <w:rFonts w:ascii="Times New Roman" w:hAnsi="Times New Roman" w:hint="eastAsia"/>
          <w:b/>
          <w:bCs/>
          <w:sz w:val="28"/>
          <w:szCs w:val="28"/>
        </w:rPr>
      </w:pPr>
      <w:r w:rsidRPr="00BD69C0">
        <w:rPr>
          <w:rFonts w:ascii="Times New Roman" w:hAnsi="Times New Roman"/>
          <w:b/>
          <w:bCs/>
          <w:sz w:val="28"/>
          <w:szCs w:val="28"/>
        </w:rPr>
        <w:t xml:space="preserve">Table </w:t>
      </w:r>
      <w:r w:rsidR="00AC4171">
        <w:rPr>
          <w:rFonts w:ascii="Times New Roman" w:hAnsi="Times New Roman" w:hint="eastAsia"/>
          <w:b/>
          <w:bCs/>
          <w:sz w:val="28"/>
          <w:szCs w:val="28"/>
        </w:rPr>
        <w:t>3</w:t>
      </w:r>
      <w:r w:rsidRPr="00BD69C0">
        <w:rPr>
          <w:rFonts w:ascii="Times New Roman" w:hAnsi="Times New Roman"/>
          <w:b/>
          <w:bCs/>
          <w:sz w:val="28"/>
          <w:szCs w:val="28"/>
        </w:rPr>
        <w:t>. Finalized Preceptor Competency Framework for Burn and Wound Repair Specialty Nurse Training Bases (PCF-BWR)</w:t>
      </w:r>
    </w:p>
    <w:tbl>
      <w:tblPr>
        <w:tblStyle w:val="s"/>
        <w:tblW w:w="13775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4"/>
        <w:gridCol w:w="1304"/>
        <w:gridCol w:w="1304"/>
        <w:gridCol w:w="1304"/>
        <w:gridCol w:w="1304"/>
        <w:gridCol w:w="1305"/>
      </w:tblGrid>
      <w:tr w:rsidR="00BD69C0" w14:paraId="17B15232" w14:textId="5D5633FF" w:rsidTr="00BD6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254" w:type="dxa"/>
            <w:vMerge w:val="restart"/>
            <w:shd w:val="clear" w:color="auto" w:fill="D9E2F3" w:themeFill="accent1" w:themeFillTint="33"/>
            <w:noWrap/>
          </w:tcPr>
          <w:p w14:paraId="79ED6154" w14:textId="77777777" w:rsidR="00BD69C0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Items</w:t>
            </w:r>
          </w:p>
        </w:tc>
        <w:tc>
          <w:tcPr>
            <w:tcW w:w="6521" w:type="dxa"/>
            <w:gridSpan w:val="5"/>
            <w:shd w:val="clear" w:color="auto" w:fill="D9E2F3" w:themeFill="accent1" w:themeFillTint="33"/>
            <w:noWrap/>
          </w:tcPr>
          <w:p w14:paraId="2BA36A91" w14:textId="7256850D" w:rsidR="00BD69C0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92699">
              <w:rPr>
                <w:rFonts w:ascii="Times New Roman" w:hAnsi="Times New Roman"/>
                <w:b/>
              </w:rPr>
              <w:t>Importance Evaluation</w:t>
            </w:r>
          </w:p>
        </w:tc>
      </w:tr>
      <w:tr w:rsidR="00BD69C0" w14:paraId="2655E173" w14:textId="0EE48102" w:rsidTr="00BD69C0">
        <w:trPr>
          <w:trHeight w:val="288"/>
        </w:trPr>
        <w:tc>
          <w:tcPr>
            <w:tcW w:w="7254" w:type="dxa"/>
            <w:vMerge/>
            <w:shd w:val="clear" w:color="auto" w:fill="D9E2F3" w:themeFill="accent1" w:themeFillTint="33"/>
            <w:noWrap/>
          </w:tcPr>
          <w:p w14:paraId="16B08EC3" w14:textId="77777777" w:rsidR="00BD69C0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shd w:val="clear" w:color="auto" w:fill="D9E2F3" w:themeFill="accent1" w:themeFillTint="33"/>
            <w:noWrap/>
          </w:tcPr>
          <w:p w14:paraId="0E6189BD" w14:textId="54235373" w:rsidR="00BD69C0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30D8D">
              <w:rPr>
                <w:rFonts w:ascii="Times New Roman" w:hAnsi="Times New Roman"/>
                <w:b/>
              </w:rPr>
              <w:t>Extremely important</w:t>
            </w:r>
          </w:p>
        </w:tc>
        <w:tc>
          <w:tcPr>
            <w:tcW w:w="1304" w:type="dxa"/>
            <w:shd w:val="clear" w:color="auto" w:fill="D9E2F3" w:themeFill="accent1" w:themeFillTint="33"/>
          </w:tcPr>
          <w:p w14:paraId="4EEDC24B" w14:textId="45DA548A" w:rsidR="00BD69C0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30D8D">
              <w:rPr>
                <w:rFonts w:ascii="Times New Roman" w:hAnsi="Times New Roman"/>
                <w:b/>
              </w:rPr>
              <w:t>Important</w:t>
            </w:r>
          </w:p>
        </w:tc>
        <w:tc>
          <w:tcPr>
            <w:tcW w:w="1304" w:type="dxa"/>
            <w:shd w:val="clear" w:color="auto" w:fill="D9E2F3" w:themeFill="accent1" w:themeFillTint="33"/>
          </w:tcPr>
          <w:p w14:paraId="12439EA6" w14:textId="3BEA2787" w:rsidR="00BD69C0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30D8D">
              <w:rPr>
                <w:rFonts w:ascii="Times New Roman" w:hAnsi="Times New Roman"/>
                <w:b/>
              </w:rPr>
              <w:t>Moderately important</w:t>
            </w:r>
          </w:p>
        </w:tc>
        <w:tc>
          <w:tcPr>
            <w:tcW w:w="1304" w:type="dxa"/>
            <w:shd w:val="clear" w:color="auto" w:fill="D9E2F3" w:themeFill="accent1" w:themeFillTint="33"/>
            <w:noWrap/>
          </w:tcPr>
          <w:p w14:paraId="472A1342" w14:textId="02DD4248" w:rsidR="00BD69C0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30D8D">
              <w:rPr>
                <w:rFonts w:ascii="Times New Roman" w:hAnsi="Times New Roman"/>
                <w:b/>
              </w:rPr>
              <w:t>Slightly important</w:t>
            </w:r>
          </w:p>
        </w:tc>
        <w:tc>
          <w:tcPr>
            <w:tcW w:w="1305" w:type="dxa"/>
            <w:shd w:val="clear" w:color="auto" w:fill="D9E2F3" w:themeFill="accent1" w:themeFillTint="33"/>
            <w:noWrap/>
          </w:tcPr>
          <w:p w14:paraId="3431935C" w14:textId="3A0607F5" w:rsidR="00BD69C0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 xml:space="preserve">Not </w:t>
            </w:r>
            <w:r w:rsidRPr="00A30D8D">
              <w:rPr>
                <w:rFonts w:ascii="Times New Roman" w:hAnsi="Times New Roman"/>
                <w:b/>
              </w:rPr>
              <w:t>important</w:t>
            </w:r>
          </w:p>
        </w:tc>
      </w:tr>
      <w:tr w:rsidR="00BD69C0" w14:paraId="58E28B3B" w14:textId="77777777" w:rsidTr="00BD69C0">
        <w:trPr>
          <w:trHeight w:val="288"/>
        </w:trPr>
        <w:tc>
          <w:tcPr>
            <w:tcW w:w="7254" w:type="dxa"/>
            <w:vMerge/>
            <w:shd w:val="clear" w:color="auto" w:fill="D9E2F3" w:themeFill="accent1" w:themeFillTint="33"/>
            <w:noWrap/>
          </w:tcPr>
          <w:p w14:paraId="262C2834" w14:textId="77777777" w:rsidR="00BD69C0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04" w:type="dxa"/>
            <w:shd w:val="clear" w:color="auto" w:fill="D9E2F3" w:themeFill="accent1" w:themeFillTint="33"/>
            <w:noWrap/>
          </w:tcPr>
          <w:p w14:paraId="070F2744" w14:textId="48D74042" w:rsidR="00BD69C0" w:rsidRPr="00A30D8D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5</w:t>
            </w:r>
          </w:p>
        </w:tc>
        <w:tc>
          <w:tcPr>
            <w:tcW w:w="1304" w:type="dxa"/>
            <w:shd w:val="clear" w:color="auto" w:fill="D9E2F3" w:themeFill="accent1" w:themeFillTint="33"/>
          </w:tcPr>
          <w:p w14:paraId="6B61FD0B" w14:textId="04C8FD85" w:rsidR="00BD69C0" w:rsidRPr="00A30D8D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4</w:t>
            </w:r>
          </w:p>
        </w:tc>
        <w:tc>
          <w:tcPr>
            <w:tcW w:w="1304" w:type="dxa"/>
            <w:shd w:val="clear" w:color="auto" w:fill="D9E2F3" w:themeFill="accent1" w:themeFillTint="33"/>
          </w:tcPr>
          <w:p w14:paraId="293588AE" w14:textId="2DB28D1E" w:rsidR="00BD69C0" w:rsidRPr="00A30D8D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3</w:t>
            </w:r>
          </w:p>
        </w:tc>
        <w:tc>
          <w:tcPr>
            <w:tcW w:w="1304" w:type="dxa"/>
            <w:shd w:val="clear" w:color="auto" w:fill="D9E2F3" w:themeFill="accent1" w:themeFillTint="33"/>
            <w:noWrap/>
          </w:tcPr>
          <w:p w14:paraId="05C95474" w14:textId="35DC7B69" w:rsidR="00BD69C0" w:rsidRPr="00A30D8D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2</w:t>
            </w:r>
          </w:p>
        </w:tc>
        <w:tc>
          <w:tcPr>
            <w:tcW w:w="1305" w:type="dxa"/>
            <w:shd w:val="clear" w:color="auto" w:fill="D9E2F3" w:themeFill="accent1" w:themeFillTint="33"/>
            <w:noWrap/>
          </w:tcPr>
          <w:p w14:paraId="17B9A66F" w14:textId="667737DE" w:rsidR="00BD69C0" w:rsidRDefault="00BD69C0" w:rsidP="00A30D8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1</w:t>
            </w:r>
          </w:p>
        </w:tc>
      </w:tr>
      <w:tr w:rsidR="00BD69C0" w14:paraId="23632102" w14:textId="7F54727E" w:rsidTr="00BD69C0">
        <w:trPr>
          <w:trHeight w:val="288"/>
        </w:trPr>
        <w:tc>
          <w:tcPr>
            <w:tcW w:w="13775" w:type="dxa"/>
            <w:gridSpan w:val="6"/>
            <w:shd w:val="clear" w:color="auto" w:fill="D9E2F3" w:themeFill="accent1" w:themeFillTint="33"/>
            <w:noWrap/>
          </w:tcPr>
          <w:p w14:paraId="044AA199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  <w:r w:rsidRPr="003D5480">
              <w:rPr>
                <w:rFonts w:ascii="Times New Roman" w:hAnsi="Times New Roman"/>
                <w:b/>
                <w:bCs/>
              </w:rPr>
              <w:t>1.</w:t>
            </w:r>
            <w:r w:rsidRPr="003D5480">
              <w:rPr>
                <w:b/>
                <w:bCs/>
              </w:rPr>
              <w:t xml:space="preserve"> </w:t>
            </w:r>
            <w:r w:rsidRPr="003D5480">
              <w:rPr>
                <w:rFonts w:ascii="Times New Roman" w:hAnsi="Times New Roman"/>
                <w:b/>
                <w:bCs/>
              </w:rPr>
              <w:t>Foundational Competence</w:t>
            </w:r>
          </w:p>
        </w:tc>
      </w:tr>
      <w:tr w:rsidR="00BD69C0" w14:paraId="136D8F2D" w14:textId="0F1D9929" w:rsidTr="00BD69C0">
        <w:trPr>
          <w:trHeight w:val="288"/>
        </w:trPr>
        <w:tc>
          <w:tcPr>
            <w:tcW w:w="7254" w:type="dxa"/>
            <w:noWrap/>
          </w:tcPr>
          <w:p w14:paraId="2CF6011A" w14:textId="77777777" w:rsidR="00BD69C0" w:rsidRPr="00013934" w:rsidRDefault="00BD69C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13934">
              <w:rPr>
                <w:rFonts w:ascii="Times New Roman" w:hAnsi="Times New Roman"/>
                <w:b/>
                <w:bCs/>
              </w:rPr>
              <w:t>1.1Professional Ethics and Humanistic Literacy</w:t>
            </w:r>
          </w:p>
        </w:tc>
        <w:tc>
          <w:tcPr>
            <w:tcW w:w="1304" w:type="dxa"/>
            <w:noWrap/>
          </w:tcPr>
          <w:p w14:paraId="7494FED6" w14:textId="4414D66C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A8F37D2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740B11F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3014105" w14:textId="15B48B2B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3228183C" w14:textId="3C6EE3CF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FD2C25E" w14:textId="1AF0D5CD" w:rsidTr="00BD69C0">
        <w:trPr>
          <w:trHeight w:val="288"/>
        </w:trPr>
        <w:tc>
          <w:tcPr>
            <w:tcW w:w="7254" w:type="dxa"/>
            <w:noWrap/>
          </w:tcPr>
          <w:p w14:paraId="6D1A5A8E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 Supportive Humanistic Environment in Clinical Nursing Practice and Education</w:t>
            </w:r>
          </w:p>
        </w:tc>
        <w:tc>
          <w:tcPr>
            <w:tcW w:w="1304" w:type="dxa"/>
            <w:noWrap/>
          </w:tcPr>
          <w:p w14:paraId="2710F60B" w14:textId="45AD85AB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9FAE3FA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CEBD10C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50BBD298" w14:textId="7E6B3D03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08AFFD0" w14:textId="4B997EAB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8DE0D13" w14:textId="4BEF0F6A" w:rsidTr="00BD69C0">
        <w:trPr>
          <w:trHeight w:val="288"/>
        </w:trPr>
        <w:tc>
          <w:tcPr>
            <w:tcW w:w="7254" w:type="dxa"/>
            <w:noWrap/>
          </w:tcPr>
          <w:p w14:paraId="73775335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 Professional Ethics and Image Building for Clinical Nurse Educators</w:t>
            </w:r>
          </w:p>
        </w:tc>
        <w:tc>
          <w:tcPr>
            <w:tcW w:w="1304" w:type="dxa"/>
            <w:noWrap/>
          </w:tcPr>
          <w:p w14:paraId="43C007E6" w14:textId="2CEDC26B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ED5479A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B0B8B5B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38FBCEE8" w14:textId="4EFBD0A3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2F3D77A5" w14:textId="6453D6C5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680246C" w14:textId="05A2C1BC" w:rsidTr="00BD69C0">
        <w:trPr>
          <w:trHeight w:val="288"/>
        </w:trPr>
        <w:tc>
          <w:tcPr>
            <w:tcW w:w="7254" w:type="dxa"/>
            <w:noWrap/>
          </w:tcPr>
          <w:p w14:paraId="09A871BD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 Nursing Etiquette and Professionalism</w:t>
            </w:r>
          </w:p>
        </w:tc>
        <w:tc>
          <w:tcPr>
            <w:tcW w:w="1304" w:type="dxa"/>
            <w:noWrap/>
          </w:tcPr>
          <w:p w14:paraId="1E201F5A" w14:textId="38485FC8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35F2513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4172F94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515F824E" w14:textId="3B5B7F88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816D688" w14:textId="244821C4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23B8F02" w14:textId="1BF165CC" w:rsidTr="00BD69C0">
        <w:trPr>
          <w:trHeight w:val="288"/>
        </w:trPr>
        <w:tc>
          <w:tcPr>
            <w:tcW w:w="7254" w:type="dxa"/>
            <w:noWrap/>
          </w:tcPr>
          <w:p w14:paraId="4D01FA4E" w14:textId="77777777" w:rsidR="00BD69C0" w:rsidRPr="00013934" w:rsidRDefault="00BD69C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13934">
              <w:rPr>
                <w:rFonts w:ascii="Times New Roman" w:hAnsi="Times New Roman"/>
                <w:b/>
                <w:bCs/>
              </w:rPr>
              <w:t>1.2 Critical Thinking</w:t>
            </w:r>
          </w:p>
        </w:tc>
        <w:tc>
          <w:tcPr>
            <w:tcW w:w="1304" w:type="dxa"/>
            <w:noWrap/>
          </w:tcPr>
          <w:p w14:paraId="5FEC6F94" w14:textId="4B8F5E7C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08DC162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E9AC04F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0C817A87" w14:textId="4BF9B84B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E4646E3" w14:textId="5282020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EBEDCE3" w14:textId="6B888F43" w:rsidTr="00BD69C0">
        <w:trPr>
          <w:trHeight w:val="288"/>
        </w:trPr>
        <w:tc>
          <w:tcPr>
            <w:tcW w:w="7254" w:type="dxa"/>
            <w:noWrap/>
          </w:tcPr>
          <w:p w14:paraId="11EA0770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 Application of Critical Thinking in Nursing Practice and Education</w:t>
            </w:r>
          </w:p>
        </w:tc>
        <w:tc>
          <w:tcPr>
            <w:tcW w:w="1304" w:type="dxa"/>
            <w:noWrap/>
          </w:tcPr>
          <w:p w14:paraId="5A2C00A5" w14:textId="5628AB4A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C419CA3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40734FA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521932E" w14:textId="0B3CDA5D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418325D" w14:textId="19460AF2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7FBD988" w14:textId="4CBC66C8" w:rsidTr="00BD69C0">
        <w:trPr>
          <w:trHeight w:val="288"/>
        </w:trPr>
        <w:tc>
          <w:tcPr>
            <w:tcW w:w="7254" w:type="dxa"/>
            <w:noWrap/>
          </w:tcPr>
          <w:p w14:paraId="1B2CB208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 Application of Evidence-Based Thinking in Nursing Practice and Education</w:t>
            </w:r>
          </w:p>
        </w:tc>
        <w:tc>
          <w:tcPr>
            <w:tcW w:w="1304" w:type="dxa"/>
            <w:noWrap/>
          </w:tcPr>
          <w:p w14:paraId="1CB68DE9" w14:textId="714013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080580B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D0275EE" w14:textId="77777777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26EF58B" w14:textId="45923CD1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5CE9D6E" w14:textId="7BF3FFCC" w:rsidR="00BD69C0" w:rsidRDefault="00BD69C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CA79224" w14:textId="77777777" w:rsidTr="00BD69C0">
        <w:trPr>
          <w:trHeight w:val="288"/>
        </w:trPr>
        <w:tc>
          <w:tcPr>
            <w:tcW w:w="7254" w:type="dxa"/>
            <w:noWrap/>
          </w:tcPr>
          <w:p w14:paraId="06AA5CF5" w14:textId="321F362D" w:rsidR="00BD69C0" w:rsidRPr="00013934" w:rsidRDefault="00BD69C0" w:rsidP="005D4A9D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13934">
              <w:rPr>
                <w:rFonts w:ascii="Times New Roman" w:hAnsi="Times New Roman"/>
                <w:b/>
                <w:bCs/>
              </w:rPr>
              <w:t>1.3 Communication and Coordination Skills</w:t>
            </w:r>
          </w:p>
        </w:tc>
        <w:tc>
          <w:tcPr>
            <w:tcW w:w="1304" w:type="dxa"/>
            <w:noWrap/>
          </w:tcPr>
          <w:p w14:paraId="50BCD581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757A009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7A361DE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51EE715E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437FF665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30ED235C" w14:textId="77777777" w:rsidTr="00BD69C0">
        <w:trPr>
          <w:trHeight w:val="288"/>
        </w:trPr>
        <w:tc>
          <w:tcPr>
            <w:tcW w:w="7254" w:type="dxa"/>
            <w:noWrap/>
          </w:tcPr>
          <w:p w14:paraId="3F7DC28F" w14:textId="726E1C2F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1.3.1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Interprofessional and Patient Communication</w:t>
            </w:r>
          </w:p>
        </w:tc>
        <w:tc>
          <w:tcPr>
            <w:tcW w:w="1304" w:type="dxa"/>
            <w:noWrap/>
          </w:tcPr>
          <w:p w14:paraId="569DB92C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BD5A2EC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DD8450C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7CDDCD60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641CCAEB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AE098B4" w14:textId="77777777" w:rsidTr="00BD69C0">
        <w:trPr>
          <w:trHeight w:val="288"/>
        </w:trPr>
        <w:tc>
          <w:tcPr>
            <w:tcW w:w="7254" w:type="dxa"/>
            <w:noWrap/>
          </w:tcPr>
          <w:p w14:paraId="58B228EA" w14:textId="053C2DFD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 Conflict Management</w:t>
            </w:r>
          </w:p>
        </w:tc>
        <w:tc>
          <w:tcPr>
            <w:tcW w:w="1304" w:type="dxa"/>
            <w:noWrap/>
          </w:tcPr>
          <w:p w14:paraId="45D87758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C6738BF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EF8BFB1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7DECE01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6991DAFF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E75DA5F" w14:textId="77777777" w:rsidTr="00BD69C0">
        <w:trPr>
          <w:trHeight w:val="288"/>
        </w:trPr>
        <w:tc>
          <w:tcPr>
            <w:tcW w:w="7254" w:type="dxa"/>
            <w:noWrap/>
          </w:tcPr>
          <w:p w14:paraId="4428A873" w14:textId="70BD0093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1.3.3Team Collaboration</w:t>
            </w:r>
          </w:p>
        </w:tc>
        <w:tc>
          <w:tcPr>
            <w:tcW w:w="1304" w:type="dxa"/>
            <w:noWrap/>
          </w:tcPr>
          <w:p w14:paraId="66D32E8C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EADAAD8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77FEF37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02090D84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3058303C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2D1D26E" w14:textId="77777777" w:rsidTr="00BD69C0">
        <w:trPr>
          <w:trHeight w:val="288"/>
        </w:trPr>
        <w:tc>
          <w:tcPr>
            <w:tcW w:w="7254" w:type="dxa"/>
            <w:noWrap/>
          </w:tcPr>
          <w:p w14:paraId="0E7E3F1C" w14:textId="1DCBF40D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1.3.4Non-Authoritative Influence and Emotional Management</w:t>
            </w:r>
          </w:p>
        </w:tc>
        <w:tc>
          <w:tcPr>
            <w:tcW w:w="1304" w:type="dxa"/>
            <w:noWrap/>
          </w:tcPr>
          <w:p w14:paraId="1C47C1E8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7E6A59F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66C6B0D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7853A497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3BDE3103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C3B7E7E" w14:textId="77777777" w:rsidTr="00BD69C0">
        <w:trPr>
          <w:trHeight w:val="288"/>
        </w:trPr>
        <w:tc>
          <w:tcPr>
            <w:tcW w:w="13775" w:type="dxa"/>
            <w:gridSpan w:val="6"/>
            <w:shd w:val="clear" w:color="auto" w:fill="D9E2F3" w:themeFill="accent1" w:themeFillTint="33"/>
            <w:noWrap/>
          </w:tcPr>
          <w:p w14:paraId="420A7C90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 w:rsidRPr="003D5480">
              <w:rPr>
                <w:rFonts w:ascii="Times New Roman" w:hAnsi="Times New Roman"/>
                <w:b/>
                <w:bCs/>
              </w:rPr>
              <w:t>2.Professional Competence</w:t>
            </w:r>
          </w:p>
        </w:tc>
      </w:tr>
      <w:tr w:rsidR="00BD69C0" w14:paraId="058A2AF7" w14:textId="77777777" w:rsidTr="00BD69C0">
        <w:trPr>
          <w:trHeight w:val="288"/>
        </w:trPr>
        <w:tc>
          <w:tcPr>
            <w:tcW w:w="7254" w:type="dxa"/>
            <w:noWrap/>
          </w:tcPr>
          <w:p w14:paraId="7938389F" w14:textId="4FFCC0F6" w:rsidR="00BD69C0" w:rsidRPr="00013934" w:rsidRDefault="00BD69C0" w:rsidP="005D4A9D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13934">
              <w:rPr>
                <w:rFonts w:ascii="Times New Roman" w:hAnsi="Times New Roman"/>
                <w:b/>
                <w:bCs/>
              </w:rPr>
              <w:t>2.1 Specialty-Specific Knowledge</w:t>
            </w:r>
          </w:p>
        </w:tc>
        <w:tc>
          <w:tcPr>
            <w:tcW w:w="1304" w:type="dxa"/>
            <w:noWrap/>
          </w:tcPr>
          <w:p w14:paraId="7CE11D80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335BBBF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F707F28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39CAE32B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3779C6F5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20186A6" w14:textId="77777777" w:rsidTr="00BD69C0">
        <w:trPr>
          <w:trHeight w:val="288"/>
        </w:trPr>
        <w:tc>
          <w:tcPr>
            <w:tcW w:w="7254" w:type="dxa"/>
            <w:noWrap/>
          </w:tcPr>
          <w:p w14:paraId="2FD814FD" w14:textId="2E836EBE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 Burn Pathophysiology, Clinical Assessment, and Nursing Care</w:t>
            </w:r>
          </w:p>
        </w:tc>
        <w:tc>
          <w:tcPr>
            <w:tcW w:w="1304" w:type="dxa"/>
            <w:noWrap/>
          </w:tcPr>
          <w:p w14:paraId="0FA9F6AB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668BFE9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B97138D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DD5F41E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44031251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5323C58E" w14:textId="77777777" w:rsidTr="00BD69C0">
        <w:trPr>
          <w:trHeight w:val="288"/>
        </w:trPr>
        <w:tc>
          <w:tcPr>
            <w:tcW w:w="7254" w:type="dxa"/>
            <w:noWrap/>
          </w:tcPr>
          <w:p w14:paraId="5CC65DC9" w14:textId="033C2C8B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2.1.2 Wound Healing Mechanisms and Clinical Assessment</w:t>
            </w:r>
          </w:p>
        </w:tc>
        <w:tc>
          <w:tcPr>
            <w:tcW w:w="1304" w:type="dxa"/>
            <w:noWrap/>
          </w:tcPr>
          <w:p w14:paraId="4108D8A3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B6BBF48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F95ED5F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75C02289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66F9D77B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5B702906" w14:textId="77777777" w:rsidTr="00BD69C0">
        <w:trPr>
          <w:trHeight w:val="288"/>
        </w:trPr>
        <w:tc>
          <w:tcPr>
            <w:tcW w:w="7254" w:type="dxa"/>
            <w:noWrap/>
          </w:tcPr>
          <w:p w14:paraId="65CEC266" w14:textId="368588D8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2.1.3 Clinical Manifestations and Nursing Care of Wound-Related Disorders</w:t>
            </w:r>
          </w:p>
        </w:tc>
        <w:tc>
          <w:tcPr>
            <w:tcW w:w="1304" w:type="dxa"/>
            <w:noWrap/>
          </w:tcPr>
          <w:p w14:paraId="4804AE94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6AA3057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A0D6BDE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FF023FF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6AA1F3AE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7674FFD" w14:textId="77777777" w:rsidTr="00BD69C0">
        <w:trPr>
          <w:trHeight w:val="288"/>
        </w:trPr>
        <w:tc>
          <w:tcPr>
            <w:tcW w:w="7254" w:type="dxa"/>
            <w:noWrap/>
          </w:tcPr>
          <w:p w14:paraId="578121FB" w14:textId="3BDF90BA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2.1.4 Assessment of Burn Area, Depth, and Severity; Comprehensive Evaluation of the Burn Patient’s Systemic Status</w:t>
            </w:r>
          </w:p>
        </w:tc>
        <w:tc>
          <w:tcPr>
            <w:tcW w:w="1304" w:type="dxa"/>
            <w:noWrap/>
          </w:tcPr>
          <w:p w14:paraId="10017D51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4314BD1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2365E08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4AC208DC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0DAC35B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6527D2E5" w14:textId="77777777" w:rsidTr="00BD69C0">
        <w:trPr>
          <w:trHeight w:val="288"/>
        </w:trPr>
        <w:tc>
          <w:tcPr>
            <w:tcW w:w="7254" w:type="dxa"/>
            <w:noWrap/>
          </w:tcPr>
          <w:p w14:paraId="32424CC1" w14:textId="0ABFFA4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2.1.5 Emergency Incidents and Contingency Management</w:t>
            </w:r>
          </w:p>
        </w:tc>
        <w:tc>
          <w:tcPr>
            <w:tcW w:w="1304" w:type="dxa"/>
            <w:noWrap/>
          </w:tcPr>
          <w:p w14:paraId="34875EF5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852A47C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57D0DD4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49883D41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AA2CC25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FCEE845" w14:textId="77777777" w:rsidTr="00BD69C0">
        <w:trPr>
          <w:trHeight w:val="288"/>
        </w:trPr>
        <w:tc>
          <w:tcPr>
            <w:tcW w:w="7254" w:type="dxa"/>
            <w:noWrap/>
          </w:tcPr>
          <w:p w14:paraId="688AD264" w14:textId="01F12CF2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2.1.6 Safe Transport of Injured or Critically Ill Patients</w:t>
            </w:r>
          </w:p>
        </w:tc>
        <w:tc>
          <w:tcPr>
            <w:tcW w:w="1304" w:type="dxa"/>
            <w:noWrap/>
          </w:tcPr>
          <w:p w14:paraId="30B639CB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9D3F710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3BA043E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024199CA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29B59700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6742871B" w14:textId="77777777" w:rsidTr="00BD69C0">
        <w:trPr>
          <w:trHeight w:val="288"/>
        </w:trPr>
        <w:tc>
          <w:tcPr>
            <w:tcW w:w="7254" w:type="dxa"/>
            <w:noWrap/>
          </w:tcPr>
          <w:p w14:paraId="5AD6BCB5" w14:textId="1C55E76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2.1.7 Hemodynamic Monitoring</w:t>
            </w:r>
          </w:p>
        </w:tc>
        <w:tc>
          <w:tcPr>
            <w:tcW w:w="1304" w:type="dxa"/>
            <w:noWrap/>
          </w:tcPr>
          <w:p w14:paraId="7B125300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90732BF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43273B8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4E8E4BBC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43FC48BC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FBB7A60" w14:textId="77777777" w:rsidTr="00BD69C0">
        <w:trPr>
          <w:trHeight w:val="288"/>
        </w:trPr>
        <w:tc>
          <w:tcPr>
            <w:tcW w:w="7254" w:type="dxa"/>
            <w:noWrap/>
          </w:tcPr>
          <w:p w14:paraId="7B126584" w14:textId="269B29B2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2.1.8 Fluid Resuscitation in Burn Shock and Formulation of Fluid Administration Plans</w:t>
            </w:r>
          </w:p>
        </w:tc>
        <w:tc>
          <w:tcPr>
            <w:tcW w:w="1304" w:type="dxa"/>
            <w:noWrap/>
          </w:tcPr>
          <w:p w14:paraId="0BCD66E0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1F064D5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E5927D4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D59D1CD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9D25A86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30F69C4" w14:textId="77777777" w:rsidTr="00BD69C0">
        <w:trPr>
          <w:trHeight w:val="288"/>
        </w:trPr>
        <w:tc>
          <w:tcPr>
            <w:tcW w:w="7254" w:type="dxa"/>
            <w:noWrap/>
          </w:tcPr>
          <w:p w14:paraId="0B54CC8E" w14:textId="77DEA07E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2.1.9 Airway Management in Inhalation Injury</w:t>
            </w:r>
          </w:p>
        </w:tc>
        <w:tc>
          <w:tcPr>
            <w:tcW w:w="1304" w:type="dxa"/>
            <w:noWrap/>
          </w:tcPr>
          <w:p w14:paraId="4F380800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397CC7B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18C5469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5F8F3628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41D7998" w14:textId="77777777" w:rsidR="00BD69C0" w:rsidRDefault="00BD69C0" w:rsidP="005D4A9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7C968D1B" w14:textId="77777777" w:rsidTr="00BD69C0">
        <w:trPr>
          <w:trHeight w:val="288"/>
        </w:trPr>
        <w:tc>
          <w:tcPr>
            <w:tcW w:w="7254" w:type="dxa"/>
            <w:noWrap/>
          </w:tcPr>
          <w:p w14:paraId="3EF4515D" w14:textId="36A8280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2.1.10 Observation and Nursing Care of Specialty-Specific Complications</w:t>
            </w:r>
          </w:p>
        </w:tc>
        <w:tc>
          <w:tcPr>
            <w:tcW w:w="1304" w:type="dxa"/>
            <w:noWrap/>
          </w:tcPr>
          <w:p w14:paraId="3DE22E75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91D17E5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C2A7A6A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4A7269F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7B819419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227E77CC" w14:textId="77777777" w:rsidTr="00BD69C0">
        <w:trPr>
          <w:trHeight w:val="288"/>
        </w:trPr>
        <w:tc>
          <w:tcPr>
            <w:tcW w:w="7254" w:type="dxa"/>
            <w:noWrap/>
          </w:tcPr>
          <w:p w14:paraId="319E699E" w14:textId="6C14684F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2.1.11 Infection Prevention and Control</w:t>
            </w:r>
          </w:p>
        </w:tc>
        <w:tc>
          <w:tcPr>
            <w:tcW w:w="1304" w:type="dxa"/>
            <w:noWrap/>
          </w:tcPr>
          <w:p w14:paraId="2546B2D5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4476674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2323825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3BA0D2A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23BD7FF9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57B5C038" w14:textId="77777777" w:rsidTr="00BD69C0">
        <w:trPr>
          <w:trHeight w:val="288"/>
        </w:trPr>
        <w:tc>
          <w:tcPr>
            <w:tcW w:w="7254" w:type="dxa"/>
            <w:noWrap/>
          </w:tcPr>
          <w:p w14:paraId="2EA8CE2E" w14:textId="65F2A1BF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2.1.12 Perioperative Nursing Care for Skin Grafting and Flap Transplantation</w:t>
            </w:r>
          </w:p>
        </w:tc>
        <w:tc>
          <w:tcPr>
            <w:tcW w:w="1304" w:type="dxa"/>
            <w:noWrap/>
          </w:tcPr>
          <w:p w14:paraId="1CFA880A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241AC7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C8334D7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08EF87F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7DFD230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7BBA5831" w14:textId="77777777" w:rsidTr="00BD69C0">
        <w:trPr>
          <w:trHeight w:val="288"/>
        </w:trPr>
        <w:tc>
          <w:tcPr>
            <w:tcW w:w="7254" w:type="dxa"/>
            <w:noWrap/>
          </w:tcPr>
          <w:p w14:paraId="31FDD5B3" w14:textId="283410C1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2.1.13 Sedation and Analgesia Management</w:t>
            </w:r>
          </w:p>
        </w:tc>
        <w:tc>
          <w:tcPr>
            <w:tcW w:w="1304" w:type="dxa"/>
            <w:noWrap/>
          </w:tcPr>
          <w:p w14:paraId="71FBEFAB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9266370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0C1A452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FC98F18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2835321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753B15D" w14:textId="77777777" w:rsidTr="00BD69C0">
        <w:trPr>
          <w:trHeight w:val="288"/>
        </w:trPr>
        <w:tc>
          <w:tcPr>
            <w:tcW w:w="7254" w:type="dxa"/>
            <w:noWrap/>
          </w:tcPr>
          <w:p w14:paraId="11051779" w14:textId="707372F5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2.1.14 Metabolic Response and Nutritional Support in Burns</w:t>
            </w:r>
          </w:p>
        </w:tc>
        <w:tc>
          <w:tcPr>
            <w:tcW w:w="1304" w:type="dxa"/>
            <w:noWrap/>
          </w:tcPr>
          <w:p w14:paraId="0B623A40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261730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F87B6B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478F055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7EA8B7BB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26570A08" w14:textId="77777777" w:rsidTr="00BD69C0">
        <w:trPr>
          <w:trHeight w:val="288"/>
        </w:trPr>
        <w:tc>
          <w:tcPr>
            <w:tcW w:w="7254" w:type="dxa"/>
            <w:noWrap/>
          </w:tcPr>
          <w:p w14:paraId="53395E17" w14:textId="180E1FB6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2.1.15 Glycemic Management</w:t>
            </w:r>
          </w:p>
        </w:tc>
        <w:tc>
          <w:tcPr>
            <w:tcW w:w="1304" w:type="dxa"/>
            <w:noWrap/>
          </w:tcPr>
          <w:p w14:paraId="5ADB6FB8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F59DE1B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5AA79B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80D2FE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4CF2E457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7AC370F" w14:textId="77777777" w:rsidTr="00BD69C0">
        <w:trPr>
          <w:trHeight w:val="288"/>
        </w:trPr>
        <w:tc>
          <w:tcPr>
            <w:tcW w:w="7254" w:type="dxa"/>
            <w:noWrap/>
          </w:tcPr>
          <w:p w14:paraId="1175C1CF" w14:textId="70E34296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2.1.16 Rehabilitation Nursing</w:t>
            </w:r>
          </w:p>
        </w:tc>
        <w:tc>
          <w:tcPr>
            <w:tcW w:w="1304" w:type="dxa"/>
            <w:noWrap/>
          </w:tcPr>
          <w:p w14:paraId="6D98E9D4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E4F5CBC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5A54F5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1E2B666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417C1416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73024FF5" w14:textId="77777777" w:rsidTr="00BD69C0">
        <w:trPr>
          <w:trHeight w:val="288"/>
        </w:trPr>
        <w:tc>
          <w:tcPr>
            <w:tcW w:w="7254" w:type="dxa"/>
            <w:noWrap/>
          </w:tcPr>
          <w:p w14:paraId="496361F5" w14:textId="597E5A8B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2.1.17 Psychological Assessment and Intervention for Patients</w:t>
            </w:r>
          </w:p>
        </w:tc>
        <w:tc>
          <w:tcPr>
            <w:tcW w:w="1304" w:type="dxa"/>
            <w:noWrap/>
          </w:tcPr>
          <w:p w14:paraId="04B1C4E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2DC9888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3D46A7A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705B8B1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18B2721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BEF5C2D" w14:textId="77777777" w:rsidTr="00BD69C0">
        <w:trPr>
          <w:trHeight w:val="288"/>
        </w:trPr>
        <w:tc>
          <w:tcPr>
            <w:tcW w:w="7254" w:type="dxa"/>
            <w:noWrap/>
          </w:tcPr>
          <w:p w14:paraId="6E23F3FB" w14:textId="5F646F9E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2.1.18 Interpretation and Application of Clinical Guidelines and Consensus Statements</w:t>
            </w:r>
          </w:p>
        </w:tc>
        <w:tc>
          <w:tcPr>
            <w:tcW w:w="1304" w:type="dxa"/>
            <w:noWrap/>
          </w:tcPr>
          <w:p w14:paraId="7453E26F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122BF1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D091465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0602E07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24D27306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0AC9080" w14:textId="77777777" w:rsidTr="00BD69C0">
        <w:trPr>
          <w:trHeight w:val="288"/>
        </w:trPr>
        <w:tc>
          <w:tcPr>
            <w:tcW w:w="7254" w:type="dxa"/>
            <w:noWrap/>
          </w:tcPr>
          <w:p w14:paraId="22D31B52" w14:textId="2B1AFA88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2.1.19 Identification and Management of Specialty-Specific Critical Values</w:t>
            </w:r>
          </w:p>
        </w:tc>
        <w:tc>
          <w:tcPr>
            <w:tcW w:w="1304" w:type="dxa"/>
            <w:noWrap/>
          </w:tcPr>
          <w:p w14:paraId="17CBD87B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23CA94D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C378E71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A6069FC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4FCEA65D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6CD98809" w14:textId="77777777" w:rsidTr="00BD69C0">
        <w:trPr>
          <w:trHeight w:val="288"/>
        </w:trPr>
        <w:tc>
          <w:tcPr>
            <w:tcW w:w="7254" w:type="dxa"/>
            <w:noWrap/>
          </w:tcPr>
          <w:p w14:paraId="123AA2F0" w14:textId="450A1018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2.1.20 Establishment, Application, and Maintenance of Various Vascular Access Devices</w:t>
            </w:r>
          </w:p>
        </w:tc>
        <w:tc>
          <w:tcPr>
            <w:tcW w:w="1304" w:type="dxa"/>
            <w:noWrap/>
          </w:tcPr>
          <w:p w14:paraId="6E897946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AFE5317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9C6591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4955C3D7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7A46F754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3B01D42" w14:textId="77777777" w:rsidTr="00BD69C0">
        <w:trPr>
          <w:trHeight w:val="288"/>
        </w:trPr>
        <w:tc>
          <w:tcPr>
            <w:tcW w:w="7254" w:type="dxa"/>
            <w:noWrap/>
          </w:tcPr>
          <w:p w14:paraId="3D8A081D" w14:textId="2E1836A5" w:rsidR="00BD69C0" w:rsidRPr="00013934" w:rsidRDefault="00BD69C0" w:rsidP="00745541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13934">
              <w:rPr>
                <w:rFonts w:ascii="Times New Roman" w:hAnsi="Times New Roman"/>
                <w:b/>
                <w:bCs/>
              </w:rPr>
              <w:t>2.2 Specialty-Specific Procedural Skills</w:t>
            </w:r>
          </w:p>
        </w:tc>
        <w:tc>
          <w:tcPr>
            <w:tcW w:w="1304" w:type="dxa"/>
            <w:noWrap/>
          </w:tcPr>
          <w:p w14:paraId="7366047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BC74C50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7C75A54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55E10402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3463A31C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4678693" w14:textId="77777777" w:rsidTr="00BD69C0">
        <w:trPr>
          <w:trHeight w:val="288"/>
        </w:trPr>
        <w:tc>
          <w:tcPr>
            <w:tcW w:w="7254" w:type="dxa"/>
            <w:noWrap/>
          </w:tcPr>
          <w:p w14:paraId="1BA378A5" w14:textId="71F52E2E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 Wound Cleansing, Dressing Change, and Bandaging Techniques</w:t>
            </w:r>
          </w:p>
        </w:tc>
        <w:tc>
          <w:tcPr>
            <w:tcW w:w="1304" w:type="dxa"/>
            <w:noWrap/>
          </w:tcPr>
          <w:p w14:paraId="69581FF1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4CE3DC2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7243A2F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33D8D68C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20AB788D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8185783" w14:textId="77777777" w:rsidTr="00BD69C0">
        <w:trPr>
          <w:trHeight w:val="288"/>
        </w:trPr>
        <w:tc>
          <w:tcPr>
            <w:tcW w:w="7254" w:type="dxa"/>
            <w:noWrap/>
          </w:tcPr>
          <w:p w14:paraId="22CE290F" w14:textId="65F99D89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 Selection and Application of Various Wound Dressings</w:t>
            </w:r>
          </w:p>
        </w:tc>
        <w:tc>
          <w:tcPr>
            <w:tcW w:w="1304" w:type="dxa"/>
            <w:noWrap/>
          </w:tcPr>
          <w:p w14:paraId="5A09E722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8F4F684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8A206C2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7AEA346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5E8BA2C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66FE2D0B" w14:textId="77777777" w:rsidTr="00BD69C0">
        <w:trPr>
          <w:trHeight w:val="288"/>
        </w:trPr>
        <w:tc>
          <w:tcPr>
            <w:tcW w:w="7254" w:type="dxa"/>
            <w:noWrap/>
          </w:tcPr>
          <w:p w14:paraId="6E95EEE1" w14:textId="58EA7C9D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2.2.3 Topical Wound Medication Administration</w:t>
            </w:r>
          </w:p>
        </w:tc>
        <w:tc>
          <w:tcPr>
            <w:tcW w:w="1304" w:type="dxa"/>
            <w:noWrap/>
          </w:tcPr>
          <w:p w14:paraId="08FA2FF8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10EE4E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36F76E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5630B290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253F2A5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2F946ABC" w14:textId="77777777" w:rsidTr="00BD69C0">
        <w:trPr>
          <w:trHeight w:val="288"/>
        </w:trPr>
        <w:tc>
          <w:tcPr>
            <w:tcW w:w="7254" w:type="dxa"/>
            <w:noWrap/>
          </w:tcPr>
          <w:p w14:paraId="5B620C8E" w14:textId="564C5ACF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2.2.4 Operation and Maintenance of Specialty-Specific Therapeutic Equipment and Instruments</w:t>
            </w:r>
          </w:p>
        </w:tc>
        <w:tc>
          <w:tcPr>
            <w:tcW w:w="1304" w:type="dxa"/>
            <w:noWrap/>
          </w:tcPr>
          <w:p w14:paraId="5B888691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F9F407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B79F71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510A0F77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A0032B5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6C3A2A93" w14:textId="77777777" w:rsidTr="00BD69C0">
        <w:trPr>
          <w:trHeight w:val="288"/>
        </w:trPr>
        <w:tc>
          <w:tcPr>
            <w:tcW w:w="7254" w:type="dxa"/>
            <w:noWrap/>
          </w:tcPr>
          <w:p w14:paraId="14E50376" w14:textId="4A4488F2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2.2.5 Hemodynamic Monitoring and Management</w:t>
            </w:r>
          </w:p>
        </w:tc>
        <w:tc>
          <w:tcPr>
            <w:tcW w:w="1304" w:type="dxa"/>
            <w:noWrap/>
          </w:tcPr>
          <w:p w14:paraId="30C29179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3538D00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754FBC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024B3B9D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B3AAC5C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0A263C1" w14:textId="77777777" w:rsidTr="00BD69C0">
        <w:trPr>
          <w:trHeight w:val="288"/>
        </w:trPr>
        <w:tc>
          <w:tcPr>
            <w:tcW w:w="7254" w:type="dxa"/>
            <w:noWrap/>
          </w:tcPr>
          <w:p w14:paraId="057DB4E4" w14:textId="42468C46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2.2.6 Ventilator Parameter Settings and Monitoring</w:t>
            </w:r>
          </w:p>
        </w:tc>
        <w:tc>
          <w:tcPr>
            <w:tcW w:w="1304" w:type="dxa"/>
            <w:noWrap/>
          </w:tcPr>
          <w:p w14:paraId="42915138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BE59944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2359EA5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E13EAB9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4D207952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B576A91" w14:textId="77777777" w:rsidTr="00BD69C0">
        <w:trPr>
          <w:trHeight w:val="288"/>
        </w:trPr>
        <w:tc>
          <w:tcPr>
            <w:tcW w:w="7254" w:type="dxa"/>
            <w:noWrap/>
          </w:tcPr>
          <w:p w14:paraId="7551E6FB" w14:textId="27802389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2.2.7 Assisting Techniques for Flexible Bronchoscopy Procedures</w:t>
            </w:r>
          </w:p>
        </w:tc>
        <w:tc>
          <w:tcPr>
            <w:tcW w:w="1304" w:type="dxa"/>
            <w:noWrap/>
          </w:tcPr>
          <w:p w14:paraId="6217265D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D27AF4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67CFDE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4266EF2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317B31CD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056AF23" w14:textId="77777777" w:rsidTr="00BD69C0">
        <w:trPr>
          <w:trHeight w:val="288"/>
        </w:trPr>
        <w:tc>
          <w:tcPr>
            <w:tcW w:w="7254" w:type="dxa"/>
            <w:noWrap/>
          </w:tcPr>
          <w:p w14:paraId="03572B75" w14:textId="79E00AE5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2.2.8 Establishment, Assistance, and Maintenance Techniques for Various Vascular Access Devices</w:t>
            </w:r>
          </w:p>
        </w:tc>
        <w:tc>
          <w:tcPr>
            <w:tcW w:w="1304" w:type="dxa"/>
            <w:noWrap/>
          </w:tcPr>
          <w:p w14:paraId="422AE698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2DD2CD0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A0CE7FF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5C2D29EF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4BAE8FD0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2CA87E7A" w14:textId="77777777" w:rsidTr="00BD69C0">
        <w:trPr>
          <w:trHeight w:val="288"/>
        </w:trPr>
        <w:tc>
          <w:tcPr>
            <w:tcW w:w="7254" w:type="dxa"/>
            <w:noWrap/>
          </w:tcPr>
          <w:p w14:paraId="30BA2626" w14:textId="230EE203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2.2.9 Artificial Airway Care</w:t>
            </w:r>
          </w:p>
        </w:tc>
        <w:tc>
          <w:tcPr>
            <w:tcW w:w="1304" w:type="dxa"/>
            <w:noWrap/>
          </w:tcPr>
          <w:p w14:paraId="7056604F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CB9B51B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B6590C5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426FA5BD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0362B2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541B7A74" w14:textId="77777777" w:rsidTr="00BD69C0">
        <w:trPr>
          <w:trHeight w:val="288"/>
        </w:trPr>
        <w:tc>
          <w:tcPr>
            <w:tcW w:w="7254" w:type="dxa"/>
            <w:noWrap/>
          </w:tcPr>
          <w:p w14:paraId="1EC1E576" w14:textId="0D015972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2.2.10 Postoperative Care Following Negative Pressure Wound Therapy</w:t>
            </w:r>
          </w:p>
        </w:tc>
        <w:tc>
          <w:tcPr>
            <w:tcW w:w="1304" w:type="dxa"/>
            <w:noWrap/>
          </w:tcPr>
          <w:p w14:paraId="0F8C9E2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09B5605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23FC53A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37DF984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72DA26AD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2F5C0F4B" w14:textId="77777777" w:rsidTr="00BD69C0">
        <w:trPr>
          <w:trHeight w:val="288"/>
        </w:trPr>
        <w:tc>
          <w:tcPr>
            <w:tcW w:w="7254" w:type="dxa"/>
            <w:noWrap/>
          </w:tcPr>
          <w:p w14:paraId="7461BE13" w14:textId="07D1216A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2.2.11 Enteral Nutrition Tube Placement and Associated Nursing Care</w:t>
            </w:r>
          </w:p>
        </w:tc>
        <w:tc>
          <w:tcPr>
            <w:tcW w:w="1304" w:type="dxa"/>
            <w:noWrap/>
          </w:tcPr>
          <w:p w14:paraId="64C5E43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6D057C4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1C3A882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5A2466C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4188D609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52FE315" w14:textId="77777777" w:rsidTr="00BD69C0">
        <w:trPr>
          <w:trHeight w:val="288"/>
        </w:trPr>
        <w:tc>
          <w:tcPr>
            <w:tcW w:w="7254" w:type="dxa"/>
            <w:noWrap/>
          </w:tcPr>
          <w:p w14:paraId="502F72C6" w14:textId="7CFB9F6B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2.2.12 Post-Burn Positioning</w:t>
            </w:r>
          </w:p>
        </w:tc>
        <w:tc>
          <w:tcPr>
            <w:tcW w:w="1304" w:type="dxa"/>
            <w:noWrap/>
          </w:tcPr>
          <w:p w14:paraId="4752FF94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623AEF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1FB867B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962ED3C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333D464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30D8779A" w14:textId="77777777" w:rsidTr="00BD69C0">
        <w:trPr>
          <w:trHeight w:val="288"/>
        </w:trPr>
        <w:tc>
          <w:tcPr>
            <w:tcW w:w="7254" w:type="dxa"/>
            <w:noWrap/>
          </w:tcPr>
          <w:p w14:paraId="4DFBBBA1" w14:textId="5C1FC9C0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2.2.13 Exercise Therapy</w:t>
            </w:r>
          </w:p>
        </w:tc>
        <w:tc>
          <w:tcPr>
            <w:tcW w:w="1304" w:type="dxa"/>
            <w:noWrap/>
          </w:tcPr>
          <w:p w14:paraId="4D59FBD6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01F0D3F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24BEED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0615CC54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D4C646C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2D686492" w14:textId="77777777" w:rsidTr="00BD69C0">
        <w:trPr>
          <w:trHeight w:val="288"/>
        </w:trPr>
        <w:tc>
          <w:tcPr>
            <w:tcW w:w="7254" w:type="dxa"/>
            <w:noWrap/>
          </w:tcPr>
          <w:p w14:paraId="3F9B2B99" w14:textId="4A8BAA95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2.2.14 Scar Assessment and Care</w:t>
            </w:r>
          </w:p>
        </w:tc>
        <w:tc>
          <w:tcPr>
            <w:tcW w:w="1304" w:type="dxa"/>
            <w:noWrap/>
          </w:tcPr>
          <w:p w14:paraId="3EE454D0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8968D4C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2B77F5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749DFC0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6BDBAD27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7156E8D3" w14:textId="77777777" w:rsidTr="00BD69C0">
        <w:trPr>
          <w:trHeight w:val="288"/>
        </w:trPr>
        <w:tc>
          <w:tcPr>
            <w:tcW w:w="7254" w:type="dxa"/>
            <w:noWrap/>
          </w:tcPr>
          <w:p w14:paraId="12C1E6BB" w14:textId="6B1BFC2E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2.2.15 Pressure Therapy</w:t>
            </w:r>
          </w:p>
        </w:tc>
        <w:tc>
          <w:tcPr>
            <w:tcW w:w="1304" w:type="dxa"/>
            <w:noWrap/>
          </w:tcPr>
          <w:p w14:paraId="33BD4E3B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06EED0D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A88C75E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C552B1B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A637476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3AACB494" w14:textId="77777777" w:rsidTr="00BD69C0">
        <w:trPr>
          <w:trHeight w:val="288"/>
        </w:trPr>
        <w:tc>
          <w:tcPr>
            <w:tcW w:w="7254" w:type="dxa"/>
            <w:noWrap/>
          </w:tcPr>
          <w:p w14:paraId="1B2816C7" w14:textId="3F3BB6BA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2.2.16 Orthosis Application</w:t>
            </w:r>
          </w:p>
        </w:tc>
        <w:tc>
          <w:tcPr>
            <w:tcW w:w="1304" w:type="dxa"/>
            <w:noWrap/>
          </w:tcPr>
          <w:p w14:paraId="6BFEA1E3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2957A40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B7FBB98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4E4CA7F6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6DD457DD" w14:textId="77777777" w:rsidR="00BD69C0" w:rsidRDefault="00BD69C0" w:rsidP="00745541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50D02909" w14:textId="77777777" w:rsidTr="00BD69C0">
        <w:trPr>
          <w:trHeight w:val="288"/>
        </w:trPr>
        <w:tc>
          <w:tcPr>
            <w:tcW w:w="7254" w:type="dxa"/>
            <w:noWrap/>
          </w:tcPr>
          <w:p w14:paraId="1DAF445E" w14:textId="35E55FE8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2.2.17 Activities of Daily Living (ADL) Assessment and Training</w:t>
            </w:r>
          </w:p>
        </w:tc>
        <w:tc>
          <w:tcPr>
            <w:tcW w:w="1304" w:type="dxa"/>
            <w:noWrap/>
          </w:tcPr>
          <w:p w14:paraId="67DE7BD3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D4137E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A0A622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B632ADB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6700D7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25D8177" w14:textId="77777777" w:rsidTr="00BD69C0">
        <w:trPr>
          <w:trHeight w:val="288"/>
        </w:trPr>
        <w:tc>
          <w:tcPr>
            <w:tcW w:w="7254" w:type="dxa"/>
            <w:noWrap/>
          </w:tcPr>
          <w:p w14:paraId="76A5CC90" w14:textId="3B9D1D00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2.2.18 Use of Assistive Devices</w:t>
            </w:r>
          </w:p>
        </w:tc>
        <w:tc>
          <w:tcPr>
            <w:tcW w:w="1304" w:type="dxa"/>
            <w:noWrap/>
          </w:tcPr>
          <w:p w14:paraId="51A59A6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9218FC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79592C4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402C625D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1C658B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6BC6CF82" w14:textId="77777777" w:rsidTr="00BD69C0">
        <w:trPr>
          <w:trHeight w:val="288"/>
        </w:trPr>
        <w:tc>
          <w:tcPr>
            <w:tcW w:w="7254" w:type="dxa"/>
            <w:noWrap/>
          </w:tcPr>
          <w:p w14:paraId="0C18C7FB" w14:textId="156E5B0D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2.2.19 Clinical Application of Air-Fluidized Beds and Turning Beds</w:t>
            </w:r>
          </w:p>
        </w:tc>
        <w:tc>
          <w:tcPr>
            <w:tcW w:w="1304" w:type="dxa"/>
            <w:noWrap/>
          </w:tcPr>
          <w:p w14:paraId="2DBC8E0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5A14B9B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7DE4178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748248FF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45374583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3C082B02" w14:textId="77777777" w:rsidTr="00BD69C0">
        <w:trPr>
          <w:trHeight w:val="288"/>
        </w:trPr>
        <w:tc>
          <w:tcPr>
            <w:tcW w:w="7254" w:type="dxa"/>
            <w:noWrap/>
          </w:tcPr>
          <w:p w14:paraId="2D2C4E93" w14:textId="45A7B13A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2.2.20 Immersion Therapy / Hydrotherapy</w:t>
            </w:r>
          </w:p>
        </w:tc>
        <w:tc>
          <w:tcPr>
            <w:tcW w:w="1304" w:type="dxa"/>
            <w:noWrap/>
          </w:tcPr>
          <w:p w14:paraId="17CF3632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35ED903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8B7E81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724F5CF8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69AE932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319A727C" w14:textId="77777777" w:rsidTr="00BD69C0">
        <w:trPr>
          <w:trHeight w:val="288"/>
        </w:trPr>
        <w:tc>
          <w:tcPr>
            <w:tcW w:w="13775" w:type="dxa"/>
            <w:gridSpan w:val="6"/>
            <w:shd w:val="clear" w:color="auto" w:fill="D9E2F3" w:themeFill="accent1" w:themeFillTint="33"/>
            <w:noWrap/>
          </w:tcPr>
          <w:p w14:paraId="208CB8B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 w:rsidRPr="003D5480">
              <w:rPr>
                <w:rFonts w:ascii="Times New Roman" w:hAnsi="Times New Roman"/>
                <w:b/>
                <w:bCs/>
              </w:rPr>
              <w:t>3.Teaching Competence</w:t>
            </w:r>
          </w:p>
        </w:tc>
      </w:tr>
      <w:tr w:rsidR="00BD69C0" w14:paraId="729CA56B" w14:textId="77777777" w:rsidTr="00BD69C0">
        <w:trPr>
          <w:trHeight w:val="288"/>
        </w:trPr>
        <w:tc>
          <w:tcPr>
            <w:tcW w:w="7254" w:type="dxa"/>
            <w:noWrap/>
          </w:tcPr>
          <w:p w14:paraId="79CA92B5" w14:textId="32C18CB6" w:rsidR="00BD69C0" w:rsidRPr="00013934" w:rsidRDefault="00BD69C0" w:rsidP="003D548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13934">
              <w:rPr>
                <w:rFonts w:ascii="Times New Roman" w:hAnsi="Times New Roman"/>
                <w:b/>
                <w:bCs/>
              </w:rPr>
              <w:t xml:space="preserve">3.1 Teaching Methods </w:t>
            </w:r>
          </w:p>
        </w:tc>
        <w:tc>
          <w:tcPr>
            <w:tcW w:w="1304" w:type="dxa"/>
            <w:noWrap/>
          </w:tcPr>
          <w:p w14:paraId="6B6B161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63BB01A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ADF820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B8C234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3A333C3B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2B9C576D" w14:textId="77777777" w:rsidTr="00BD69C0">
        <w:trPr>
          <w:trHeight w:val="288"/>
        </w:trPr>
        <w:tc>
          <w:tcPr>
            <w:tcW w:w="7254" w:type="dxa"/>
            <w:noWrap/>
          </w:tcPr>
          <w:p w14:paraId="1D89C994" w14:textId="464002D9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 Language-Based Teaching Methods</w:t>
            </w:r>
          </w:p>
        </w:tc>
        <w:tc>
          <w:tcPr>
            <w:tcW w:w="1304" w:type="dxa"/>
            <w:noWrap/>
          </w:tcPr>
          <w:p w14:paraId="4A06FF0B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9731F64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088035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CF5DDE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F4FB074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612B10A" w14:textId="77777777" w:rsidTr="00BD69C0">
        <w:trPr>
          <w:trHeight w:val="288"/>
        </w:trPr>
        <w:tc>
          <w:tcPr>
            <w:tcW w:w="7254" w:type="dxa"/>
            <w:noWrap/>
          </w:tcPr>
          <w:p w14:paraId="5F0424F1" w14:textId="20BA2BC8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 Experiential Teaching Methods</w:t>
            </w:r>
          </w:p>
        </w:tc>
        <w:tc>
          <w:tcPr>
            <w:tcW w:w="1304" w:type="dxa"/>
            <w:noWrap/>
          </w:tcPr>
          <w:p w14:paraId="3D0A2B8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A34F58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CBBC57B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7A93FB8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A25C0B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54781DC1" w14:textId="77777777" w:rsidTr="00BD69C0">
        <w:trPr>
          <w:trHeight w:val="288"/>
        </w:trPr>
        <w:tc>
          <w:tcPr>
            <w:tcW w:w="7254" w:type="dxa"/>
            <w:noWrap/>
          </w:tcPr>
          <w:p w14:paraId="1190B13E" w14:textId="212E4F2E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3.1.3 Inquiry-Based Teaching Methods</w:t>
            </w:r>
          </w:p>
        </w:tc>
        <w:tc>
          <w:tcPr>
            <w:tcW w:w="1304" w:type="dxa"/>
            <w:noWrap/>
          </w:tcPr>
          <w:p w14:paraId="76EC549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376001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0EF620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3A908C4C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6630CB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61EE7122" w14:textId="77777777" w:rsidTr="00BD69C0">
        <w:trPr>
          <w:trHeight w:val="288"/>
        </w:trPr>
        <w:tc>
          <w:tcPr>
            <w:tcW w:w="7254" w:type="dxa"/>
            <w:noWrap/>
          </w:tcPr>
          <w:p w14:paraId="259FC8F6" w14:textId="08A0620B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3.1.4 Teaching Effectiveness Evaluation Methods and Optimization Strategies</w:t>
            </w:r>
          </w:p>
        </w:tc>
        <w:tc>
          <w:tcPr>
            <w:tcW w:w="1304" w:type="dxa"/>
            <w:noWrap/>
          </w:tcPr>
          <w:p w14:paraId="7DED5A08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5A3EEDA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D0EE41B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4F51C184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E79B96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5D42E63A" w14:textId="77777777" w:rsidTr="00BD69C0">
        <w:trPr>
          <w:trHeight w:val="288"/>
        </w:trPr>
        <w:tc>
          <w:tcPr>
            <w:tcW w:w="7254" w:type="dxa"/>
            <w:noWrap/>
          </w:tcPr>
          <w:p w14:paraId="4E0AE182" w14:textId="0BDDFAAB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3.1.5 Cultivation and Evaluation of Health Education Competence</w:t>
            </w:r>
          </w:p>
        </w:tc>
        <w:tc>
          <w:tcPr>
            <w:tcW w:w="1304" w:type="dxa"/>
            <w:noWrap/>
          </w:tcPr>
          <w:p w14:paraId="127A075B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E78DA5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D5D22DC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90F111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20F578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5E94394B" w14:textId="77777777" w:rsidTr="00BD69C0">
        <w:trPr>
          <w:trHeight w:val="288"/>
        </w:trPr>
        <w:tc>
          <w:tcPr>
            <w:tcW w:w="7254" w:type="dxa"/>
            <w:noWrap/>
          </w:tcPr>
          <w:p w14:paraId="5EC00A2E" w14:textId="5DE62E36" w:rsidR="00BD69C0" w:rsidRPr="00013934" w:rsidRDefault="00BD69C0" w:rsidP="003D548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13934">
              <w:rPr>
                <w:rFonts w:ascii="Times New Roman" w:hAnsi="Times New Roman"/>
                <w:b/>
                <w:bCs/>
              </w:rPr>
              <w:t xml:space="preserve">3.2 Teaching Practice </w:t>
            </w:r>
          </w:p>
        </w:tc>
        <w:tc>
          <w:tcPr>
            <w:tcW w:w="1304" w:type="dxa"/>
            <w:noWrap/>
          </w:tcPr>
          <w:p w14:paraId="0853796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56627F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B17C848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A6B49AD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20F62B52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34163056" w14:textId="77777777" w:rsidTr="00BD69C0">
        <w:trPr>
          <w:trHeight w:val="288"/>
        </w:trPr>
        <w:tc>
          <w:tcPr>
            <w:tcW w:w="7254" w:type="dxa"/>
            <w:noWrap/>
          </w:tcPr>
          <w:p w14:paraId="0DC0765B" w14:textId="480A04E1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 Educational Presentation Design and Delivery</w:t>
            </w:r>
          </w:p>
        </w:tc>
        <w:tc>
          <w:tcPr>
            <w:tcW w:w="1304" w:type="dxa"/>
            <w:noWrap/>
          </w:tcPr>
          <w:p w14:paraId="2B893AC1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A9FD2B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063465D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B8F4B1B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3341254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3B488983" w14:textId="77777777" w:rsidTr="00BD69C0">
        <w:trPr>
          <w:trHeight w:val="288"/>
        </w:trPr>
        <w:tc>
          <w:tcPr>
            <w:tcW w:w="7254" w:type="dxa"/>
            <w:noWrap/>
          </w:tcPr>
          <w:p w14:paraId="619BFD2C" w14:textId="0C46E1F5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 Classroom Atmosphere Management and Questioning Techniques in Clinical Nursing Teaching</w:t>
            </w:r>
          </w:p>
        </w:tc>
        <w:tc>
          <w:tcPr>
            <w:tcW w:w="1304" w:type="dxa"/>
            <w:noWrap/>
          </w:tcPr>
          <w:p w14:paraId="384C736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7F3F7E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57A4FAF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04F9C3B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9294AFD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506DA25E" w14:textId="77777777" w:rsidTr="00BD69C0">
        <w:trPr>
          <w:trHeight w:val="288"/>
        </w:trPr>
        <w:tc>
          <w:tcPr>
            <w:tcW w:w="7254" w:type="dxa"/>
            <w:noWrap/>
          </w:tcPr>
          <w:p w14:paraId="440F7940" w14:textId="1657290E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3.2.4 Organization and Implementation of Small Group Tutoring Sessions in Nursing</w:t>
            </w:r>
          </w:p>
        </w:tc>
        <w:tc>
          <w:tcPr>
            <w:tcW w:w="1304" w:type="dxa"/>
            <w:noWrap/>
          </w:tcPr>
          <w:p w14:paraId="20AB766D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CEAF5D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CE5DC1A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9397E53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5DB02EC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7A638883" w14:textId="77777777" w:rsidTr="00BD69C0">
        <w:trPr>
          <w:trHeight w:val="288"/>
        </w:trPr>
        <w:tc>
          <w:tcPr>
            <w:tcW w:w="13775" w:type="dxa"/>
            <w:gridSpan w:val="6"/>
            <w:shd w:val="clear" w:color="auto" w:fill="D9E2F3" w:themeFill="accent1" w:themeFillTint="33"/>
            <w:noWrap/>
          </w:tcPr>
          <w:p w14:paraId="547EB75D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 w:rsidRPr="003D5480">
              <w:rPr>
                <w:rFonts w:ascii="Times New Roman" w:hAnsi="Times New Roman" w:hint="eastAsia"/>
                <w:b/>
                <w:bCs/>
              </w:rPr>
              <w:t>4.</w:t>
            </w:r>
            <w:r w:rsidRPr="003D5480">
              <w:rPr>
                <w:rFonts w:ascii="Times New Roman" w:hAnsi="Times New Roman"/>
                <w:b/>
                <w:bCs/>
              </w:rPr>
              <w:t xml:space="preserve">Research and Innovation Competence </w:t>
            </w:r>
          </w:p>
        </w:tc>
      </w:tr>
      <w:tr w:rsidR="00BD69C0" w14:paraId="07496A6D" w14:textId="77777777" w:rsidTr="00BD69C0">
        <w:trPr>
          <w:trHeight w:val="288"/>
        </w:trPr>
        <w:tc>
          <w:tcPr>
            <w:tcW w:w="7254" w:type="dxa"/>
            <w:noWrap/>
          </w:tcPr>
          <w:p w14:paraId="503E5AD3" w14:textId="1FF40B2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 Research Fundamentals</w:t>
            </w:r>
          </w:p>
        </w:tc>
        <w:tc>
          <w:tcPr>
            <w:tcW w:w="1304" w:type="dxa"/>
            <w:noWrap/>
          </w:tcPr>
          <w:p w14:paraId="032F2194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227E4D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F82B6D2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4AC4EF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15D0CF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210D8DE4" w14:textId="77777777" w:rsidTr="00BD69C0">
        <w:trPr>
          <w:trHeight w:val="288"/>
        </w:trPr>
        <w:tc>
          <w:tcPr>
            <w:tcW w:w="7254" w:type="dxa"/>
            <w:noWrap/>
          </w:tcPr>
          <w:p w14:paraId="0D7241BB" w14:textId="705CAD42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4.1.1 Evidence-Based Nursing Methods</w:t>
            </w:r>
          </w:p>
        </w:tc>
        <w:tc>
          <w:tcPr>
            <w:tcW w:w="1304" w:type="dxa"/>
            <w:noWrap/>
          </w:tcPr>
          <w:p w14:paraId="7350512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B4694D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DC9F5F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7EE058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2157157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787FDFB5" w14:textId="77777777" w:rsidTr="00BD69C0">
        <w:trPr>
          <w:trHeight w:val="288"/>
        </w:trPr>
        <w:tc>
          <w:tcPr>
            <w:tcW w:w="7254" w:type="dxa"/>
            <w:noWrap/>
          </w:tcPr>
          <w:p w14:paraId="19551905" w14:textId="2E6FB1DE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4.1.2 Medical Literature Retrieval Strategies</w:t>
            </w:r>
          </w:p>
        </w:tc>
        <w:tc>
          <w:tcPr>
            <w:tcW w:w="1304" w:type="dxa"/>
            <w:noWrap/>
          </w:tcPr>
          <w:p w14:paraId="70ADA25D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03AC9E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A60E0DC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719F435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5E8594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7C0185DE" w14:textId="77777777" w:rsidTr="00BD69C0">
        <w:trPr>
          <w:trHeight w:val="288"/>
        </w:trPr>
        <w:tc>
          <w:tcPr>
            <w:tcW w:w="7254" w:type="dxa"/>
            <w:noWrap/>
          </w:tcPr>
          <w:p w14:paraId="45534E8A" w14:textId="0E0752EA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4.1.3 Research Topic Selection Methods</w:t>
            </w:r>
          </w:p>
        </w:tc>
        <w:tc>
          <w:tcPr>
            <w:tcW w:w="1304" w:type="dxa"/>
            <w:noWrap/>
          </w:tcPr>
          <w:p w14:paraId="27F8DE2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16E2AE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A6F7E2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3247B9DF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4B264BA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298EDFA9" w14:textId="77777777" w:rsidTr="00BD69C0">
        <w:trPr>
          <w:trHeight w:val="288"/>
        </w:trPr>
        <w:tc>
          <w:tcPr>
            <w:tcW w:w="7254" w:type="dxa"/>
            <w:noWrap/>
          </w:tcPr>
          <w:p w14:paraId="2A8D87C6" w14:textId="4A049680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4.1.4 Statistical Analysis and Interpretation</w:t>
            </w:r>
          </w:p>
        </w:tc>
        <w:tc>
          <w:tcPr>
            <w:tcW w:w="1304" w:type="dxa"/>
            <w:noWrap/>
          </w:tcPr>
          <w:p w14:paraId="129E8E0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7BA4C0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1035A98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8B75FF2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DE8A1F4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7AF4806" w14:textId="77777777" w:rsidTr="00BD69C0">
        <w:trPr>
          <w:trHeight w:val="288"/>
        </w:trPr>
        <w:tc>
          <w:tcPr>
            <w:tcW w:w="7254" w:type="dxa"/>
            <w:noWrap/>
          </w:tcPr>
          <w:p w14:paraId="0D7DA56C" w14:textId="5E95B662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4.1.5 Nursing Paper Writing</w:t>
            </w:r>
          </w:p>
        </w:tc>
        <w:tc>
          <w:tcPr>
            <w:tcW w:w="1304" w:type="dxa"/>
            <w:noWrap/>
          </w:tcPr>
          <w:p w14:paraId="283FD822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453572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C438C51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466B0A1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3700322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63196F73" w14:textId="77777777" w:rsidTr="00BD69C0">
        <w:trPr>
          <w:trHeight w:val="288"/>
        </w:trPr>
        <w:tc>
          <w:tcPr>
            <w:tcW w:w="7254" w:type="dxa"/>
            <w:noWrap/>
          </w:tcPr>
          <w:p w14:paraId="424459EA" w14:textId="3082C8A3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 Research Practice</w:t>
            </w:r>
          </w:p>
        </w:tc>
        <w:tc>
          <w:tcPr>
            <w:tcW w:w="1304" w:type="dxa"/>
            <w:noWrap/>
          </w:tcPr>
          <w:p w14:paraId="533A451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D797073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6DBD79A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AEAF11C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230819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66E0EC1F" w14:textId="77777777" w:rsidTr="00BD69C0">
        <w:trPr>
          <w:trHeight w:val="288"/>
        </w:trPr>
        <w:tc>
          <w:tcPr>
            <w:tcW w:w="7254" w:type="dxa"/>
            <w:noWrap/>
          </w:tcPr>
          <w:p w14:paraId="553AFB3B" w14:textId="2457E970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4.2.1 Selection, Design, and Implementation of Research Projects</w:t>
            </w:r>
          </w:p>
        </w:tc>
        <w:tc>
          <w:tcPr>
            <w:tcW w:w="1304" w:type="dxa"/>
            <w:noWrap/>
          </w:tcPr>
          <w:p w14:paraId="52C4EE5C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7F916C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9EC154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50F9331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329BB3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62E0C27" w14:textId="77777777" w:rsidTr="00BD69C0">
        <w:trPr>
          <w:trHeight w:val="288"/>
        </w:trPr>
        <w:tc>
          <w:tcPr>
            <w:tcW w:w="7254" w:type="dxa"/>
            <w:noWrap/>
          </w:tcPr>
          <w:p w14:paraId="097A23D9" w14:textId="5BA32775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4.2.2 Research Grant Application and Innovation Translation</w:t>
            </w:r>
          </w:p>
        </w:tc>
        <w:tc>
          <w:tcPr>
            <w:tcW w:w="1304" w:type="dxa"/>
            <w:noWrap/>
          </w:tcPr>
          <w:p w14:paraId="2DBDEA1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9C9446C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952D08D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917B1F4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D12935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716EA29" w14:textId="77777777" w:rsidTr="00BD69C0">
        <w:trPr>
          <w:trHeight w:val="288"/>
        </w:trPr>
        <w:tc>
          <w:tcPr>
            <w:tcW w:w="13775" w:type="dxa"/>
            <w:gridSpan w:val="6"/>
            <w:shd w:val="clear" w:color="auto" w:fill="D9E2F3" w:themeFill="accent1" w:themeFillTint="33"/>
            <w:noWrap/>
          </w:tcPr>
          <w:p w14:paraId="650CE101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 w:rsidRPr="003D5480">
              <w:rPr>
                <w:rFonts w:ascii="Times New Roman" w:hAnsi="Times New Roman"/>
                <w:b/>
                <w:bCs/>
              </w:rPr>
              <w:t>5.Leadership and Management Competence</w:t>
            </w:r>
          </w:p>
        </w:tc>
      </w:tr>
      <w:tr w:rsidR="00BD69C0" w14:paraId="599050CC" w14:textId="77777777" w:rsidTr="00BD69C0">
        <w:trPr>
          <w:trHeight w:val="288"/>
        </w:trPr>
        <w:tc>
          <w:tcPr>
            <w:tcW w:w="7254" w:type="dxa"/>
            <w:noWrap/>
          </w:tcPr>
          <w:p w14:paraId="535375CD" w14:textId="135A3E01" w:rsidR="00BD69C0" w:rsidRPr="00013934" w:rsidRDefault="00BD69C0" w:rsidP="003D548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13934">
              <w:rPr>
                <w:rFonts w:ascii="Times New Roman" w:hAnsi="Times New Roman"/>
                <w:b/>
                <w:bCs/>
              </w:rPr>
              <w:t>5.1 Leadership</w:t>
            </w:r>
          </w:p>
        </w:tc>
        <w:tc>
          <w:tcPr>
            <w:tcW w:w="1304" w:type="dxa"/>
            <w:noWrap/>
          </w:tcPr>
          <w:p w14:paraId="43DB162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6EDF0D2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13C7E88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78CF03DD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38D43B08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506F870C" w14:textId="77777777" w:rsidTr="00BD69C0">
        <w:trPr>
          <w:trHeight w:val="288"/>
        </w:trPr>
        <w:tc>
          <w:tcPr>
            <w:tcW w:w="7254" w:type="dxa"/>
            <w:noWrap/>
          </w:tcPr>
          <w:p w14:paraId="7108DD0A" w14:textId="08096CF5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 Cultivation of Leadership in Nursing Practice</w:t>
            </w:r>
          </w:p>
        </w:tc>
        <w:tc>
          <w:tcPr>
            <w:tcW w:w="1304" w:type="dxa"/>
            <w:noWrap/>
          </w:tcPr>
          <w:p w14:paraId="7C14B773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1CEA97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049243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00FEF281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4FA9EBE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7C28A4D" w14:textId="77777777" w:rsidTr="00BD69C0">
        <w:trPr>
          <w:trHeight w:val="288"/>
        </w:trPr>
        <w:tc>
          <w:tcPr>
            <w:tcW w:w="7254" w:type="dxa"/>
            <w:noWrap/>
          </w:tcPr>
          <w:p w14:paraId="794520C9" w14:textId="6CA59625" w:rsidR="00BD69C0" w:rsidRPr="00013934" w:rsidRDefault="00BD69C0" w:rsidP="003D5480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13934">
              <w:rPr>
                <w:rFonts w:ascii="Times New Roman" w:hAnsi="Times New Roman"/>
                <w:b/>
                <w:bCs/>
              </w:rPr>
              <w:t>5.2 Nursing Management</w:t>
            </w:r>
          </w:p>
        </w:tc>
        <w:tc>
          <w:tcPr>
            <w:tcW w:w="1304" w:type="dxa"/>
            <w:noWrap/>
          </w:tcPr>
          <w:p w14:paraId="6C07AECF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DCA3BB3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52612FA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756DC34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EE8673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7C392AD0" w14:textId="77777777" w:rsidTr="00BD69C0">
        <w:trPr>
          <w:trHeight w:val="288"/>
        </w:trPr>
        <w:tc>
          <w:tcPr>
            <w:tcW w:w="7254" w:type="dxa"/>
            <w:noWrap/>
          </w:tcPr>
          <w:p w14:paraId="4F576713" w14:textId="277DEA8D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5.2.1 Human Resource Allocation and Management</w:t>
            </w:r>
          </w:p>
        </w:tc>
        <w:tc>
          <w:tcPr>
            <w:tcW w:w="1304" w:type="dxa"/>
            <w:noWrap/>
          </w:tcPr>
          <w:p w14:paraId="671A22FC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0BD0AA4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F4E216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13642E9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055BCC8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469E25ED" w14:textId="77777777" w:rsidTr="00BD69C0">
        <w:trPr>
          <w:trHeight w:val="288"/>
        </w:trPr>
        <w:tc>
          <w:tcPr>
            <w:tcW w:w="7254" w:type="dxa"/>
            <w:noWrap/>
          </w:tcPr>
          <w:p w14:paraId="3F965642" w14:textId="249BE649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5.2.2 Risk and Safety Management</w:t>
            </w:r>
          </w:p>
        </w:tc>
        <w:tc>
          <w:tcPr>
            <w:tcW w:w="1304" w:type="dxa"/>
            <w:noWrap/>
          </w:tcPr>
          <w:p w14:paraId="0577F71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664F3AB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88D81DD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37BBB1E9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36A4FB1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2937216" w14:textId="77777777" w:rsidTr="00BD69C0">
        <w:trPr>
          <w:trHeight w:val="288"/>
        </w:trPr>
        <w:tc>
          <w:tcPr>
            <w:tcW w:w="7254" w:type="dxa"/>
            <w:noWrap/>
          </w:tcPr>
          <w:p w14:paraId="4942DCFC" w14:textId="0BDE47CE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5.2.3 Sensitive Quality Indicators, Quality Management, and Continuous Quality Improvement</w:t>
            </w:r>
          </w:p>
        </w:tc>
        <w:tc>
          <w:tcPr>
            <w:tcW w:w="1304" w:type="dxa"/>
            <w:noWrap/>
          </w:tcPr>
          <w:p w14:paraId="25248C03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061C081D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C6FFCC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F4139A1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344CBF83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73616EF6" w14:textId="77777777" w:rsidTr="00BD69C0">
        <w:trPr>
          <w:trHeight w:val="288"/>
        </w:trPr>
        <w:tc>
          <w:tcPr>
            <w:tcW w:w="7254" w:type="dxa"/>
            <w:noWrap/>
          </w:tcPr>
          <w:p w14:paraId="39AD826D" w14:textId="69754FAC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5.2.4 Application of Nursing Management Tools</w:t>
            </w:r>
          </w:p>
        </w:tc>
        <w:tc>
          <w:tcPr>
            <w:tcW w:w="1304" w:type="dxa"/>
            <w:noWrap/>
          </w:tcPr>
          <w:p w14:paraId="50716F1F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AC0D98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365945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AF7A877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7A06AA2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2542B73F" w14:textId="77777777" w:rsidTr="00BD69C0">
        <w:trPr>
          <w:trHeight w:val="288"/>
        </w:trPr>
        <w:tc>
          <w:tcPr>
            <w:tcW w:w="7254" w:type="dxa"/>
            <w:noWrap/>
          </w:tcPr>
          <w:p w14:paraId="4C649CB7" w14:textId="547E6F45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5.2.5 Common Documentation Records and Information Management</w:t>
            </w:r>
          </w:p>
        </w:tc>
        <w:tc>
          <w:tcPr>
            <w:tcW w:w="1304" w:type="dxa"/>
            <w:noWrap/>
          </w:tcPr>
          <w:p w14:paraId="4ADD043A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BF8068E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15203521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0FA2E7AB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779E32D4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1090B431" w14:textId="77777777" w:rsidTr="00BD69C0">
        <w:trPr>
          <w:trHeight w:val="288"/>
        </w:trPr>
        <w:tc>
          <w:tcPr>
            <w:tcW w:w="7254" w:type="dxa"/>
            <w:noWrap/>
          </w:tcPr>
          <w:p w14:paraId="3FABBF5E" w14:textId="117F989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5.2.6 Health Economics and Performance Improvement</w:t>
            </w:r>
          </w:p>
        </w:tc>
        <w:tc>
          <w:tcPr>
            <w:tcW w:w="1304" w:type="dxa"/>
            <w:noWrap/>
          </w:tcPr>
          <w:p w14:paraId="3AD95396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3E68848C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4AB1CDA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222B042A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674B9533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BD69C0" w14:paraId="067141E0" w14:textId="77777777" w:rsidTr="00BD69C0">
        <w:trPr>
          <w:trHeight w:val="288"/>
        </w:trPr>
        <w:tc>
          <w:tcPr>
            <w:tcW w:w="7254" w:type="dxa"/>
            <w:noWrap/>
          </w:tcPr>
          <w:p w14:paraId="0D066343" w14:textId="670D8942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5.2.7 Evaluation of Nursing Outcomes and Cost-Effectiveness Accounting</w:t>
            </w:r>
          </w:p>
        </w:tc>
        <w:tc>
          <w:tcPr>
            <w:tcW w:w="1304" w:type="dxa"/>
            <w:noWrap/>
          </w:tcPr>
          <w:p w14:paraId="491AC021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22499412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14:paraId="7BC24775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noWrap/>
          </w:tcPr>
          <w:p w14:paraId="673C5A4C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noWrap/>
          </w:tcPr>
          <w:p w14:paraId="11610D20" w14:textId="77777777" w:rsidR="00BD69C0" w:rsidRDefault="00BD69C0" w:rsidP="003D5480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695202AF" w14:textId="77777777" w:rsidR="00A438CF" w:rsidRDefault="00A438CF">
      <w:pPr>
        <w:spacing w:line="360" w:lineRule="auto"/>
        <w:rPr>
          <w:rFonts w:ascii="Times New Roman" w:hAnsi="Times New Roman"/>
        </w:rPr>
      </w:pPr>
    </w:p>
    <w:sectPr w:rsidR="00A438C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88BBF" w14:textId="77777777" w:rsidR="009B649C" w:rsidRDefault="009B649C">
      <w:r>
        <w:separator/>
      </w:r>
    </w:p>
  </w:endnote>
  <w:endnote w:type="continuationSeparator" w:id="0">
    <w:p w14:paraId="7CBC0FD2" w14:textId="77777777" w:rsidR="009B649C" w:rsidRDefault="009B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BDEA" w14:textId="77777777" w:rsidR="009B649C" w:rsidRDefault="009B649C">
      <w:r>
        <w:separator/>
      </w:r>
    </w:p>
  </w:footnote>
  <w:footnote w:type="continuationSeparator" w:id="0">
    <w:p w14:paraId="63329FB4" w14:textId="77777777" w:rsidR="009B649C" w:rsidRDefault="009B6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3FE722"/>
    <w:multiLevelType w:val="singleLevel"/>
    <w:tmpl w:val="A03FE722"/>
    <w:lvl w:ilvl="0">
      <w:start w:val="4"/>
      <w:numFmt w:val="decimal"/>
      <w:suff w:val="space"/>
      <w:lvlText w:val="%1."/>
      <w:lvlJc w:val="left"/>
    </w:lvl>
  </w:abstractNum>
  <w:num w:numId="1" w16cid:durableId="335884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DB"/>
    <w:rsid w:val="00013934"/>
    <w:rsid w:val="000313FE"/>
    <w:rsid w:val="000C4C3E"/>
    <w:rsid w:val="000C72AE"/>
    <w:rsid w:val="003D5480"/>
    <w:rsid w:val="003F6524"/>
    <w:rsid w:val="00562288"/>
    <w:rsid w:val="00592699"/>
    <w:rsid w:val="005D4A9D"/>
    <w:rsid w:val="00745541"/>
    <w:rsid w:val="007865BD"/>
    <w:rsid w:val="009B649C"/>
    <w:rsid w:val="00A30D8D"/>
    <w:rsid w:val="00A438CF"/>
    <w:rsid w:val="00AB5B8F"/>
    <w:rsid w:val="00AC2E7C"/>
    <w:rsid w:val="00AC4171"/>
    <w:rsid w:val="00AD2EC5"/>
    <w:rsid w:val="00BA60C5"/>
    <w:rsid w:val="00BD69C0"/>
    <w:rsid w:val="00C64FDB"/>
    <w:rsid w:val="00DB4518"/>
    <w:rsid w:val="00E64D5A"/>
    <w:rsid w:val="38B2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07070D"/>
  <w15:docId w15:val="{08553623-14AA-46F4-89F5-DC1C030D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s">
    <w:name w:val="s三线表"/>
    <w:basedOn w:val="a1"/>
    <w:qFormat/>
    <w:rPr>
      <w:rFonts w:ascii="Times New Roman" w:eastAsia="宋体" w:hAnsi="Times New Roman" w:cs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eastAsia="Times New Roman"/>
        <w:sz w:val="32"/>
      </w:rPr>
      <w:tblPr/>
      <w:tcPr>
        <w:tcBorders>
          <w:bottom w:val="single" w:sz="6" w:space="0" w:color="auto"/>
        </w:tcBorders>
      </w:tcPr>
    </w:tblStylePr>
  </w:style>
  <w:style w:type="table" w:customStyle="1" w:styleId="ab">
    <w:name w:val="三线表"/>
    <w:basedOn w:val="a1"/>
    <w:qFormat/>
    <w:rPr>
      <w:rFonts w:ascii="Times New Roman" w:eastAsia="宋体" w:hAnsi="Times New Roman" w:cs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eastAsiaTheme="majorEastAsia"/>
      </w:rPr>
      <w:tblPr/>
      <w:tcPr>
        <w:tcBorders>
          <w:bottom w:val="single" w:sz="6" w:space="0" w:color="000000" w:themeColor="text1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634</Words>
  <Characters>4604</Characters>
  <Application>Microsoft Office Word</Application>
  <DocSecurity>0</DocSecurity>
  <Lines>767</Lines>
  <Paragraphs>127</Paragraphs>
  <ScaleCrop>false</ScaleCrop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 Violet</dc:creator>
  <cp:lastModifiedBy>Violet Violet</cp:lastModifiedBy>
  <cp:revision>6</cp:revision>
  <dcterms:created xsi:type="dcterms:W3CDTF">2026-06-25T04:13:00Z</dcterms:created>
  <dcterms:modified xsi:type="dcterms:W3CDTF">2026-08-04T11:45:00Z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eyJoZGlkIjoiY2FmOTA2YTY0NjkwNjgzMjY5ZmFkZWE0NmU1MmYyNTIiLCJ1c2VySWQiOiI0NTM1MzcyMjIifQ==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A7DE0C2DFDCA44B7A011D9B12A5D3D69_12</vt:lpwstr>
  </property>
</Properties>
</file>