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9A3B" w14:textId="77777777" w:rsidR="00D4308B" w:rsidRPr="00861726" w:rsidRDefault="00000000" w:rsidP="00861726">
      <w:pPr>
        <w:spacing w:after="200" w:line="360" w:lineRule="auto"/>
        <w:jc w:val="center"/>
        <w:rPr>
          <w:color w:val="000000" w:themeColor="text1"/>
          <w:sz w:val="28"/>
          <w:szCs w:val="28"/>
        </w:rPr>
      </w:pPr>
      <w:r w:rsidRPr="00861726">
        <w:rPr>
          <w:b/>
          <w:bCs/>
          <w:color w:val="000000" w:themeColor="text1"/>
          <w:sz w:val="28"/>
          <w:szCs w:val="28"/>
        </w:rPr>
        <w:t>Supplementary Material</w:t>
      </w:r>
    </w:p>
    <w:p w14:paraId="52E7ACDD" w14:textId="77777777" w:rsidR="00D4308B" w:rsidRPr="00861726" w:rsidRDefault="00000000" w:rsidP="00861726">
      <w:pPr>
        <w:spacing w:after="140" w:line="360" w:lineRule="auto"/>
        <w:jc w:val="center"/>
        <w:rPr>
          <w:b/>
          <w:bCs/>
          <w:color w:val="000000" w:themeColor="text1"/>
          <w:sz w:val="24"/>
          <w:szCs w:val="24"/>
        </w:rPr>
      </w:pPr>
      <w:r w:rsidRPr="00861726">
        <w:rPr>
          <w:b/>
          <w:bCs/>
          <w:i/>
          <w:iCs/>
          <w:color w:val="000000" w:themeColor="text1"/>
          <w:sz w:val="24"/>
          <w:szCs w:val="24"/>
        </w:rPr>
        <w:t>Closing the science–planning gap in wetland salinization: a managed-transition framework tested in the Indian Sundarbans</w:t>
      </w:r>
    </w:p>
    <w:p w14:paraId="1CDF758D" w14:textId="77777777" w:rsidR="00D4308B" w:rsidRPr="00861726" w:rsidRDefault="00000000" w:rsidP="00861726">
      <w:pPr>
        <w:pStyle w:val="Heading1"/>
        <w:spacing w:line="360" w:lineRule="auto"/>
        <w:jc w:val="both"/>
        <w:rPr>
          <w:color w:val="000000" w:themeColor="text1"/>
          <w:sz w:val="24"/>
          <w:szCs w:val="24"/>
        </w:rPr>
      </w:pPr>
      <w:r w:rsidRPr="00861726">
        <w:rPr>
          <w:color w:val="000000" w:themeColor="text1"/>
          <w:sz w:val="24"/>
          <w:szCs w:val="24"/>
        </w:rPr>
        <w:t>Appendix S1. Search strategy and reproducibility</w:t>
      </w:r>
    </w:p>
    <w:p w14:paraId="43AD5ED7" w14:textId="77777777" w:rsidR="00D4308B" w:rsidRPr="00861726" w:rsidRDefault="00000000" w:rsidP="00861726">
      <w:pPr>
        <w:spacing w:after="160" w:line="360" w:lineRule="auto"/>
        <w:jc w:val="both"/>
        <w:rPr>
          <w:color w:val="000000" w:themeColor="text1"/>
          <w:sz w:val="24"/>
          <w:szCs w:val="24"/>
        </w:rPr>
      </w:pPr>
      <w:r w:rsidRPr="00861726">
        <w:rPr>
          <w:b/>
          <w:bCs/>
          <w:color w:val="000000" w:themeColor="text1"/>
          <w:sz w:val="24"/>
          <w:szCs w:val="24"/>
        </w:rPr>
        <w:t xml:space="preserve">Database: </w:t>
      </w:r>
      <w:r w:rsidRPr="00861726">
        <w:rPr>
          <w:color w:val="000000" w:themeColor="text1"/>
          <w:sz w:val="24"/>
          <w:szCs w:val="24"/>
        </w:rPr>
        <w:t>Scopus. Records retrieved and exported: 775 (1986-2025)</w:t>
      </w:r>
    </w:p>
    <w:p w14:paraId="6D1C35EB" w14:textId="77777777" w:rsidR="00D4308B" w:rsidRPr="00861726" w:rsidRDefault="00000000" w:rsidP="00861726">
      <w:pPr>
        <w:pStyle w:val="Heading1"/>
        <w:spacing w:line="360" w:lineRule="auto"/>
        <w:jc w:val="both"/>
        <w:rPr>
          <w:color w:val="000000" w:themeColor="text1"/>
          <w:sz w:val="24"/>
          <w:szCs w:val="24"/>
        </w:rPr>
      </w:pPr>
      <w:r w:rsidRPr="00861726">
        <w:rPr>
          <w:color w:val="000000" w:themeColor="text1"/>
          <w:sz w:val="24"/>
          <w:szCs w:val="24"/>
        </w:rPr>
        <w:t>Search query (applied to title, abstract and keyword fields):</w:t>
      </w:r>
    </w:p>
    <w:p w14:paraId="6E4D7413"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 xml:space="preserve">TITLE-ABS-KEY </w:t>
      </w:r>
      <w:r w:rsidR="00C9038F" w:rsidRPr="00861726">
        <w:rPr>
          <w:color w:val="000000" w:themeColor="text1"/>
          <w:sz w:val="24"/>
          <w:szCs w:val="24"/>
        </w:rPr>
        <w:t>(salinization</w:t>
      </w:r>
      <w:r w:rsidRPr="00861726">
        <w:rPr>
          <w:color w:val="000000" w:themeColor="text1"/>
          <w:sz w:val="24"/>
          <w:szCs w:val="24"/>
        </w:rPr>
        <w:t xml:space="preserve"> AND </w:t>
      </w:r>
      <w:r w:rsidR="00C9038F" w:rsidRPr="00861726">
        <w:rPr>
          <w:color w:val="000000" w:themeColor="text1"/>
          <w:sz w:val="24"/>
          <w:szCs w:val="24"/>
        </w:rPr>
        <w:t>wetland)</w:t>
      </w:r>
    </w:p>
    <w:p w14:paraId="2C6AF8E9"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 xml:space="preserve">Equivalent interface entry: the search was run in the Scopus document search with the field set to “Article title, Abstract, Keywords” and the search term </w:t>
      </w:r>
      <w:r w:rsidR="00C9038F" w:rsidRPr="00861726">
        <w:rPr>
          <w:color w:val="000000" w:themeColor="text1"/>
          <w:sz w:val="24"/>
          <w:szCs w:val="24"/>
        </w:rPr>
        <w:t>"</w:t>
      </w:r>
      <w:r w:rsidRPr="00861726">
        <w:rPr>
          <w:color w:val="000000" w:themeColor="text1"/>
          <w:sz w:val="24"/>
          <w:szCs w:val="24"/>
        </w:rPr>
        <w:t>Salinization wetland,</w:t>
      </w:r>
      <w:r w:rsidR="00C9038F" w:rsidRPr="00861726">
        <w:rPr>
          <w:color w:val="000000" w:themeColor="text1"/>
          <w:sz w:val="24"/>
          <w:szCs w:val="24"/>
        </w:rPr>
        <w:t>"</w:t>
      </w:r>
      <w:r w:rsidRPr="00861726">
        <w:rPr>
          <w:color w:val="000000" w:themeColor="text1"/>
          <w:sz w:val="24"/>
          <w:szCs w:val="24"/>
        </w:rPr>
        <w:t xml:space="preserve"> which returned 775 documents. No date, language or document-type limits were applied at the search stage.</w:t>
      </w:r>
    </w:p>
    <w:p w14:paraId="1EDBCDCD"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Fields exported: authors, title, year, source, volume/issue, citations, DOI, affiliations, abstract, author and index keywords, document type, language. The cited-references field was not included; co-citation analysis was therefore not performed (a stated limitation).</w:t>
      </w:r>
    </w:p>
    <w:p w14:paraId="7172EC10" w14:textId="77777777" w:rsidR="00D4308B" w:rsidRPr="00861726" w:rsidRDefault="00000000" w:rsidP="00861726">
      <w:pPr>
        <w:pStyle w:val="Heading1"/>
        <w:spacing w:line="360" w:lineRule="auto"/>
        <w:jc w:val="both"/>
        <w:rPr>
          <w:color w:val="000000" w:themeColor="text1"/>
          <w:sz w:val="24"/>
          <w:szCs w:val="24"/>
        </w:rPr>
      </w:pPr>
      <w:r w:rsidRPr="00861726">
        <w:rPr>
          <w:color w:val="000000" w:themeColor="text1"/>
          <w:sz w:val="24"/>
          <w:szCs w:val="24"/>
        </w:rPr>
        <w:t>Appendix S2. Study-selection accounting (selection schematic; not a formal PRISMA screening)</w:t>
      </w: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86"/>
        <w:gridCol w:w="3402"/>
      </w:tblGrid>
      <w:tr w:rsidR="00D4308B" w:rsidRPr="00861726" w14:paraId="21E72F7B" w14:textId="77777777" w:rsidTr="00861726">
        <w:trPr>
          <w:trHeight w:val="435"/>
          <w:tblHeader/>
        </w:trPr>
        <w:tc>
          <w:tcPr>
            <w:tcW w:w="5386"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0D723A9"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Stage</w:t>
            </w:r>
          </w:p>
        </w:tc>
        <w:tc>
          <w:tcPr>
            <w:tcW w:w="3402"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880025B"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n</w:t>
            </w:r>
          </w:p>
        </w:tc>
      </w:tr>
      <w:tr w:rsidR="00D4308B" w:rsidRPr="00861726" w14:paraId="63A3FA04" w14:textId="77777777" w:rsidTr="00861726">
        <w:tc>
          <w:tcPr>
            <w:tcW w:w="5386"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D15540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Records identified from Scopus (database search)</w:t>
            </w:r>
          </w:p>
        </w:tc>
        <w:tc>
          <w:tcPr>
            <w:tcW w:w="3402"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645824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775</w:t>
            </w:r>
          </w:p>
        </w:tc>
      </w:tr>
      <w:tr w:rsidR="00D4308B" w:rsidRPr="00861726" w14:paraId="7AC05F4D" w14:textId="77777777" w:rsidTr="00861726">
        <w:tc>
          <w:tcPr>
            <w:tcW w:w="5386"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4BB610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Records screened for relevance to wetland salinization</w:t>
            </w:r>
          </w:p>
        </w:tc>
        <w:tc>
          <w:tcPr>
            <w:tcW w:w="3402"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385B01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775</w:t>
            </w:r>
          </w:p>
        </w:tc>
      </w:tr>
      <w:tr w:rsidR="00D4308B" w:rsidRPr="00861726" w14:paraId="2D6AA290" w14:textId="77777777" w:rsidTr="00861726">
        <w:tc>
          <w:tcPr>
            <w:tcW w:w="5386"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115191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Full corpus retained for bibliometric and topic-model analysis</w:t>
            </w:r>
          </w:p>
        </w:tc>
        <w:tc>
          <w:tcPr>
            <w:tcW w:w="3402"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170549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775</w:t>
            </w:r>
          </w:p>
        </w:tc>
      </w:tr>
      <w:tr w:rsidR="00D4308B" w:rsidRPr="00861726" w14:paraId="79E17086" w14:textId="77777777" w:rsidTr="00861726">
        <w:tc>
          <w:tcPr>
            <w:tcW w:w="5386"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EEB497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Studies assessed in depth for the mechanistic synthesis</w:t>
            </w:r>
          </w:p>
        </w:tc>
        <w:tc>
          <w:tcPr>
            <w:tcW w:w="3402"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36F8F8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23</w:t>
            </w:r>
          </w:p>
        </w:tc>
      </w:tr>
      <w:tr w:rsidR="00D4308B" w:rsidRPr="00861726" w14:paraId="5EE2D92A" w14:textId="77777777" w:rsidTr="00861726">
        <w:tc>
          <w:tcPr>
            <w:tcW w:w="5386"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8A6C00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Core studies in qualitative synthesis (Section 5)</w:t>
            </w:r>
          </w:p>
        </w:tc>
        <w:tc>
          <w:tcPr>
            <w:tcW w:w="3402"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0210C5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23</w:t>
            </w:r>
          </w:p>
        </w:tc>
      </w:tr>
    </w:tbl>
    <w:p w14:paraId="3FB21A9E" w14:textId="77777777" w:rsidR="00D4308B" w:rsidRPr="00861726" w:rsidRDefault="00D4308B" w:rsidP="00861726">
      <w:pPr>
        <w:spacing w:after="120" w:line="360" w:lineRule="auto"/>
        <w:jc w:val="both"/>
        <w:rPr>
          <w:color w:val="000000" w:themeColor="text1"/>
          <w:sz w:val="24"/>
          <w:szCs w:val="24"/>
        </w:rPr>
      </w:pPr>
    </w:p>
    <w:p w14:paraId="2EB3EAA1" w14:textId="4FEF96C0" w:rsidR="00D4308B" w:rsidRPr="00861726" w:rsidRDefault="00000000" w:rsidP="00861726">
      <w:pPr>
        <w:spacing w:after="140" w:line="360" w:lineRule="auto"/>
        <w:jc w:val="both"/>
        <w:rPr>
          <w:color w:val="000000" w:themeColor="text1"/>
          <w:sz w:val="24"/>
          <w:szCs w:val="24"/>
        </w:rPr>
      </w:pPr>
      <w:r w:rsidRPr="00861726">
        <w:rPr>
          <w:color w:val="000000" w:themeColor="text1"/>
          <w:sz w:val="24"/>
          <w:szCs w:val="24"/>
        </w:rPr>
        <w:t xml:space="preserve">All 775 Scopus records retrieved were used for the bibliometric and topic-model analyses. From these, 23 studies with the strongest causal attribution and management relevance were selected for the in-depth mechanistic synthesis (Section 5). Selection was purposive rather than an exhaustive, </w:t>
      </w:r>
      <w:r w:rsidRPr="00861726">
        <w:rPr>
          <w:color w:val="000000" w:themeColor="text1"/>
          <w:sz w:val="24"/>
          <w:szCs w:val="24"/>
        </w:rPr>
        <w:lastRenderedPageBreak/>
        <w:t>dual-screened systematic review; no protocol was registered and no inter-rater agreement statistic was computed. This table is therefore presented as a study-selection schematic rather than a PRISMA screening record, and the corresponding figure (Fig. 1A) should be read in the same way. All 23 studies listed in Appendix S5 are included in the manuscript reference list.</w:t>
      </w:r>
    </w:p>
    <w:p w14:paraId="473CE40D" w14:textId="77777777" w:rsidR="00D4308B" w:rsidRPr="00861726" w:rsidRDefault="00000000" w:rsidP="00861726">
      <w:pPr>
        <w:pStyle w:val="Heading1"/>
        <w:spacing w:line="360" w:lineRule="auto"/>
        <w:jc w:val="both"/>
        <w:rPr>
          <w:color w:val="000000" w:themeColor="text1"/>
          <w:sz w:val="24"/>
          <w:szCs w:val="24"/>
        </w:rPr>
      </w:pPr>
      <w:r w:rsidRPr="00861726">
        <w:rPr>
          <w:color w:val="000000" w:themeColor="text1"/>
          <w:sz w:val="24"/>
          <w:szCs w:val="24"/>
        </w:rPr>
        <w:t>Appendix S3. Bibliometric and corpus indicators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4308B" w:rsidRPr="00861726" w14:paraId="1C26478C" w14:textId="77777777" w:rsidTr="00611B1A">
        <w:trPr>
          <w:tblHeader/>
        </w:trPr>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6059E18"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Indicator</w:t>
            </w:r>
          </w:p>
        </w:tc>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08EAA41"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Value</w:t>
            </w:r>
          </w:p>
        </w:tc>
      </w:tr>
      <w:tr w:rsidR="00D4308B" w:rsidRPr="00861726" w14:paraId="6F2CBA67" w14:textId="77777777">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39387B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Documents</w:t>
            </w:r>
          </w:p>
        </w:tc>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DCA911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775</w:t>
            </w:r>
          </w:p>
        </w:tc>
      </w:tr>
      <w:tr w:rsidR="00D4308B" w:rsidRPr="00861726" w14:paraId="15249FA9" w14:textId="77777777">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1F7F13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Timespan</w:t>
            </w:r>
          </w:p>
        </w:tc>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FED7EC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1986–2025</w:t>
            </w:r>
          </w:p>
        </w:tc>
      </w:tr>
      <w:tr w:rsidR="00D4308B" w:rsidRPr="00861726" w14:paraId="7ABCFCB1" w14:textId="77777777">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90DDF4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Sources (journals/books)</w:t>
            </w:r>
          </w:p>
        </w:tc>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43C5CB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367</w:t>
            </w:r>
          </w:p>
        </w:tc>
      </w:tr>
      <w:tr w:rsidR="00D4308B" w:rsidRPr="00861726" w14:paraId="06361B71" w14:textId="77777777">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F36FEF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Total citations</w:t>
            </w:r>
          </w:p>
        </w:tc>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BDF727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25,951</w:t>
            </w:r>
          </w:p>
        </w:tc>
      </w:tr>
      <w:tr w:rsidR="00D4308B" w:rsidRPr="00861726" w14:paraId="669C4A96" w14:textId="77777777">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4C76EF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Mean citations per document</w:t>
            </w:r>
          </w:p>
        </w:tc>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1F95E1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33.5</w:t>
            </w:r>
          </w:p>
        </w:tc>
      </w:tr>
      <w:tr w:rsidR="00D4308B" w:rsidRPr="00861726" w14:paraId="748C502A" w14:textId="77777777">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4E6445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Median citations</w:t>
            </w:r>
          </w:p>
        </w:tc>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0D8B45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12</w:t>
            </w:r>
          </w:p>
        </w:tc>
      </w:tr>
      <w:tr w:rsidR="00D4308B" w:rsidRPr="00861726" w14:paraId="2BDE6D13" w14:textId="77777777">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5EC492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Corpus h-index</w:t>
            </w:r>
          </w:p>
        </w:tc>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4C02F2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73</w:t>
            </w:r>
          </w:p>
        </w:tc>
      </w:tr>
      <w:tr w:rsidR="00D4308B" w:rsidRPr="00861726" w14:paraId="51B45B72" w14:textId="77777777">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F0B2D5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Annual growth (2015–2025)</w:t>
            </w:r>
          </w:p>
        </w:tc>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AD67E3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~+141%</w:t>
            </w:r>
          </w:p>
        </w:tc>
      </w:tr>
      <w:tr w:rsidR="00D4308B" w:rsidRPr="00861726" w14:paraId="7D667FE2" w14:textId="77777777">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F24F3F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Bradford Zone 1 (core)</w:t>
            </w:r>
          </w:p>
        </w:tc>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7B1070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23 sources / 260 articles</w:t>
            </w:r>
          </w:p>
        </w:tc>
      </w:tr>
      <w:tr w:rsidR="00D4308B" w:rsidRPr="00861726" w14:paraId="1FCA24DF" w14:textId="77777777">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0450F1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Bradford Zone 2</w:t>
            </w:r>
          </w:p>
        </w:tc>
        <w:tc>
          <w:tcPr>
            <w:tcW w:w="468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460C74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88 sources / 257 articles</w:t>
            </w:r>
          </w:p>
        </w:tc>
      </w:tr>
      <w:tr w:rsidR="00D4308B" w:rsidRPr="00861726" w14:paraId="6B58605E" w14:textId="77777777">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8F5415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Bradford Zone 3</w:t>
            </w:r>
          </w:p>
        </w:tc>
        <w:tc>
          <w:tcPr>
            <w:tcW w:w="468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3D7DD7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256 sources / 258 articles</w:t>
            </w:r>
          </w:p>
        </w:tc>
      </w:tr>
    </w:tbl>
    <w:p w14:paraId="3875E831" w14:textId="77777777" w:rsidR="00D4308B" w:rsidRPr="00861726" w:rsidRDefault="00D4308B" w:rsidP="00861726">
      <w:pPr>
        <w:spacing w:after="120" w:line="360" w:lineRule="auto"/>
        <w:jc w:val="both"/>
        <w:rPr>
          <w:color w:val="000000" w:themeColor="text1"/>
          <w:sz w:val="24"/>
          <w:szCs w:val="24"/>
        </w:rPr>
      </w:pPr>
    </w:p>
    <w:p w14:paraId="1E5964F6"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Keyword normalisation merged spelling and plural variants (e.g., salinization/salinisation; sea-level rise/sea level rise; wetland/wetlands) prior to co-occurrence and thematic analysis.</w:t>
      </w:r>
    </w:p>
    <w:p w14:paraId="6682FDF1" w14:textId="77777777" w:rsidR="00D4308B" w:rsidRPr="00861726" w:rsidRDefault="00000000" w:rsidP="00861726">
      <w:pPr>
        <w:pStyle w:val="Heading1"/>
        <w:spacing w:line="360" w:lineRule="auto"/>
        <w:jc w:val="both"/>
        <w:rPr>
          <w:color w:val="000000" w:themeColor="text1"/>
          <w:sz w:val="24"/>
          <w:szCs w:val="24"/>
        </w:rPr>
      </w:pPr>
      <w:r w:rsidRPr="00861726">
        <w:rPr>
          <w:color w:val="000000" w:themeColor="text1"/>
          <w:sz w:val="24"/>
          <w:szCs w:val="24"/>
        </w:rPr>
        <w:t xml:space="preserve">Appendix S4. LDA topic model </w:t>
      </w:r>
      <w:r w:rsidR="00C9038F" w:rsidRPr="00861726">
        <w:rPr>
          <w:color w:val="000000" w:themeColor="text1"/>
          <w:sz w:val="24"/>
          <w:szCs w:val="24"/>
        </w:rPr>
        <w:t>-</w:t>
      </w:r>
      <w:r w:rsidRPr="00861726">
        <w:rPr>
          <w:color w:val="000000" w:themeColor="text1"/>
          <w:sz w:val="24"/>
          <w:szCs w:val="24"/>
        </w:rPr>
        <w:t xml:space="preserve"> full term lists</w:t>
      </w:r>
    </w:p>
    <w:p w14:paraId="4A54F8D1"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 xml:space="preserve">Model: Latent Dirichlet Allocation. Document–term matrix: titles + abstracts + author keywords; </w:t>
      </w:r>
      <w:proofErr w:type="spellStart"/>
      <w:r w:rsidRPr="00861726">
        <w:rPr>
          <w:color w:val="000000" w:themeColor="text1"/>
          <w:sz w:val="24"/>
          <w:szCs w:val="24"/>
        </w:rPr>
        <w:t>min_df</w:t>
      </w:r>
      <w:proofErr w:type="spellEnd"/>
      <w:r w:rsidRPr="00861726">
        <w:rPr>
          <w:color w:val="000000" w:themeColor="text1"/>
          <w:sz w:val="24"/>
          <w:szCs w:val="24"/>
        </w:rPr>
        <w:t xml:space="preserve"> </w:t>
      </w:r>
      <w:r w:rsidR="00C9038F" w:rsidRPr="00861726">
        <w:rPr>
          <w:color w:val="000000" w:themeColor="text1"/>
          <w:sz w:val="24"/>
          <w:szCs w:val="24"/>
        </w:rPr>
        <w:t>=</w:t>
      </w:r>
      <w:r w:rsidRPr="00861726">
        <w:rPr>
          <w:color w:val="000000" w:themeColor="text1"/>
          <w:sz w:val="24"/>
          <w:szCs w:val="24"/>
        </w:rPr>
        <w:t xml:space="preserve"> 5, </w:t>
      </w:r>
      <w:proofErr w:type="spellStart"/>
      <w:r w:rsidRPr="00861726">
        <w:rPr>
          <w:color w:val="000000" w:themeColor="text1"/>
          <w:sz w:val="24"/>
          <w:szCs w:val="24"/>
        </w:rPr>
        <w:t>max_df</w:t>
      </w:r>
      <w:proofErr w:type="spellEnd"/>
      <w:r w:rsidRPr="00861726">
        <w:rPr>
          <w:color w:val="000000" w:themeColor="text1"/>
          <w:sz w:val="24"/>
          <w:szCs w:val="24"/>
        </w:rPr>
        <w:t xml:space="preserve"> </w:t>
      </w:r>
      <w:r w:rsidR="00C9038F" w:rsidRPr="00861726">
        <w:rPr>
          <w:color w:val="000000" w:themeColor="text1"/>
          <w:sz w:val="24"/>
          <w:szCs w:val="24"/>
        </w:rPr>
        <w:t>=</w:t>
      </w:r>
      <w:r w:rsidRPr="00861726">
        <w:rPr>
          <w:color w:val="000000" w:themeColor="text1"/>
          <w:sz w:val="24"/>
          <w:szCs w:val="24"/>
        </w:rPr>
        <w:t xml:space="preserve"> 0.5; unigrams and bigrams; English stop-words plus domain-generic terms (including “significantly,” “increased,” etc.) removed. Model order was examined over k </w:t>
      </w:r>
      <w:r w:rsidR="00C9038F" w:rsidRPr="00861726">
        <w:rPr>
          <w:color w:val="000000" w:themeColor="text1"/>
          <w:sz w:val="24"/>
          <w:szCs w:val="24"/>
        </w:rPr>
        <w:t>=</w:t>
      </w:r>
      <w:r w:rsidRPr="00861726">
        <w:rPr>
          <w:color w:val="000000" w:themeColor="text1"/>
          <w:sz w:val="24"/>
          <w:szCs w:val="24"/>
        </w:rPr>
        <w:t xml:space="preserve"> 3-6 using perplexity and UMass topic coherence (table below). Perplexity decreased monotonically across k </w:t>
      </w:r>
      <w:r w:rsidR="00C9038F" w:rsidRPr="00861726">
        <w:rPr>
          <w:color w:val="000000" w:themeColor="text1"/>
          <w:sz w:val="24"/>
          <w:szCs w:val="24"/>
        </w:rPr>
        <w:t>=</w:t>
      </w:r>
      <w:r w:rsidRPr="00861726">
        <w:rPr>
          <w:color w:val="000000" w:themeColor="text1"/>
          <w:sz w:val="24"/>
          <w:szCs w:val="24"/>
        </w:rPr>
        <w:t xml:space="preserve"> 3-6 and UMass coherence was maximized at k </w:t>
      </w:r>
      <w:r w:rsidR="00C9038F" w:rsidRPr="00861726">
        <w:rPr>
          <w:color w:val="000000" w:themeColor="text1"/>
          <w:sz w:val="24"/>
          <w:szCs w:val="24"/>
        </w:rPr>
        <w:t>=</w:t>
      </w:r>
      <w:r w:rsidRPr="00861726">
        <w:rPr>
          <w:color w:val="000000" w:themeColor="text1"/>
          <w:sz w:val="24"/>
          <w:szCs w:val="24"/>
        </w:rPr>
        <w:t xml:space="preserve"> 3, decreasing monotonically thereafter; k </w:t>
      </w:r>
      <w:r w:rsidR="00C9038F" w:rsidRPr="00861726">
        <w:rPr>
          <w:color w:val="000000" w:themeColor="text1"/>
          <w:sz w:val="24"/>
          <w:szCs w:val="24"/>
        </w:rPr>
        <w:t>=</w:t>
      </w:r>
      <w:r w:rsidRPr="00861726">
        <w:rPr>
          <w:color w:val="000000" w:themeColor="text1"/>
          <w:sz w:val="24"/>
          <w:szCs w:val="24"/>
        </w:rPr>
        <w:t xml:space="preserve"> 4 was therefore selected for interpretability rather than for fit (see Section 2.5), because under </w:t>
      </w:r>
      <w:r w:rsidRPr="00861726">
        <w:rPr>
          <w:color w:val="000000" w:themeColor="text1"/>
          <w:sz w:val="24"/>
          <w:szCs w:val="24"/>
        </w:rPr>
        <w:lastRenderedPageBreak/>
        <w:t xml:space="preserve">k </w:t>
      </w:r>
      <w:r w:rsidR="00C9038F" w:rsidRPr="00861726">
        <w:rPr>
          <w:color w:val="000000" w:themeColor="text1"/>
          <w:sz w:val="24"/>
          <w:szCs w:val="24"/>
        </w:rPr>
        <w:t>=</w:t>
      </w:r>
      <w:r w:rsidRPr="00861726">
        <w:rPr>
          <w:color w:val="000000" w:themeColor="text1"/>
          <w:sz w:val="24"/>
          <w:szCs w:val="24"/>
        </w:rPr>
        <w:t xml:space="preserve"> 3 the coastal-squeeze terms (coastal, sea level, tidal, marsh, saltwater, intrusion) load onto the salinization-ecology topic rather than forming a separate topic. The full k </w:t>
      </w:r>
      <w:r w:rsidR="00C9038F" w:rsidRPr="00861726">
        <w:rPr>
          <w:color w:val="000000" w:themeColor="text1"/>
          <w:sz w:val="24"/>
          <w:szCs w:val="24"/>
        </w:rPr>
        <w:t>=</w:t>
      </w:r>
      <w:r w:rsidRPr="00861726">
        <w:rPr>
          <w:color w:val="000000" w:themeColor="text1"/>
          <w:sz w:val="24"/>
          <w:szCs w:val="24"/>
        </w:rPr>
        <w:t xml:space="preserve"> 3 term list can be regenerated from the deposited analysis code. The model was fitted in Python using scikit-learn (Latent</w:t>
      </w:r>
      <w:r w:rsidR="00D355DA" w:rsidRPr="00861726">
        <w:rPr>
          <w:color w:val="000000" w:themeColor="text1"/>
          <w:sz w:val="24"/>
          <w:szCs w:val="24"/>
        </w:rPr>
        <w:t xml:space="preserve"> </w:t>
      </w:r>
      <w:r w:rsidRPr="00861726">
        <w:rPr>
          <w:color w:val="000000" w:themeColor="text1"/>
          <w:sz w:val="24"/>
          <w:szCs w:val="24"/>
        </w:rPr>
        <w:t>Dirichlet</w:t>
      </w:r>
      <w:r w:rsidR="00D355DA" w:rsidRPr="00861726">
        <w:rPr>
          <w:color w:val="000000" w:themeColor="text1"/>
          <w:sz w:val="24"/>
          <w:szCs w:val="24"/>
        </w:rPr>
        <w:t xml:space="preserve"> </w:t>
      </w:r>
      <w:r w:rsidRPr="00861726">
        <w:rPr>
          <w:color w:val="000000" w:themeColor="text1"/>
          <w:sz w:val="24"/>
          <w:szCs w:val="24"/>
        </w:rPr>
        <w:t xml:space="preserve">Allocation) with a fixed random seed for reproducibility. The fifteen highest-probability terms per topic for the reported k </w:t>
      </w:r>
      <w:r w:rsidR="00C9038F" w:rsidRPr="00861726">
        <w:rPr>
          <w:color w:val="000000" w:themeColor="text1"/>
          <w:sz w:val="24"/>
          <w:szCs w:val="24"/>
        </w:rPr>
        <w:t>=</w:t>
      </w:r>
      <w:r w:rsidRPr="00861726">
        <w:rPr>
          <w:color w:val="000000" w:themeColor="text1"/>
          <w:sz w:val="24"/>
          <w:szCs w:val="24"/>
        </w:rPr>
        <w:t xml:space="preserve"> 4 solution are listed below (probability in parentheses).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D4308B" w:rsidRPr="00861726" w14:paraId="1CEA5529" w14:textId="77777777" w:rsidTr="00611B1A">
        <w:trPr>
          <w:tblHeader/>
        </w:trPr>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8DA43D7"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k</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86967BF"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Perplexity</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EBDDFA7"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UMass coherence</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539FEA3"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Selected</w:t>
            </w:r>
          </w:p>
        </w:tc>
      </w:tr>
      <w:tr w:rsidR="00D4308B" w:rsidRPr="00861726" w14:paraId="559BDAD6" w14:textId="77777777">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4D1C43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3</w:t>
            </w:r>
          </w:p>
        </w:tc>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E62106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1824</w:t>
            </w:r>
          </w:p>
        </w:tc>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31D359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-1.244</w:t>
            </w:r>
          </w:p>
        </w:tc>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29E7FDB" w14:textId="77777777" w:rsidR="00D4308B" w:rsidRPr="00861726" w:rsidRDefault="00D4308B" w:rsidP="00861726">
            <w:pPr>
              <w:spacing w:line="360" w:lineRule="auto"/>
              <w:jc w:val="both"/>
              <w:rPr>
                <w:color w:val="000000" w:themeColor="text1"/>
                <w:sz w:val="24"/>
                <w:szCs w:val="24"/>
              </w:rPr>
            </w:pPr>
          </w:p>
        </w:tc>
      </w:tr>
      <w:tr w:rsidR="00D4308B" w:rsidRPr="00861726" w14:paraId="2BD053E8" w14:textId="77777777">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7271B4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4</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24D92D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1811</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505F54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-1.354</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09E813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w:t>
            </w:r>
          </w:p>
        </w:tc>
      </w:tr>
      <w:tr w:rsidR="00D4308B" w:rsidRPr="00861726" w14:paraId="1CDE4F7A" w14:textId="77777777">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22FA9D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5</w:t>
            </w:r>
          </w:p>
        </w:tc>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993B70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1772</w:t>
            </w:r>
          </w:p>
        </w:tc>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2E0A52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-1.408</w:t>
            </w:r>
          </w:p>
        </w:tc>
        <w:tc>
          <w:tcPr>
            <w:tcW w:w="2340" w:type="dxa"/>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F2D0324" w14:textId="77777777" w:rsidR="00D4308B" w:rsidRPr="00861726" w:rsidRDefault="00D4308B" w:rsidP="00861726">
            <w:pPr>
              <w:spacing w:line="360" w:lineRule="auto"/>
              <w:jc w:val="both"/>
              <w:rPr>
                <w:color w:val="000000" w:themeColor="text1"/>
                <w:sz w:val="24"/>
                <w:szCs w:val="24"/>
              </w:rPr>
            </w:pPr>
          </w:p>
        </w:tc>
      </w:tr>
      <w:tr w:rsidR="00D4308B" w:rsidRPr="00861726" w14:paraId="1CA9999D" w14:textId="77777777">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79BB52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6</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B81EEC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1741</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2B28FC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-1.412</w:t>
            </w:r>
          </w:p>
        </w:tc>
        <w:tc>
          <w:tcPr>
            <w:tcW w:w="2340" w:type="dxa"/>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741A6D2" w14:textId="77777777" w:rsidR="00D4308B" w:rsidRPr="00861726" w:rsidRDefault="00D4308B" w:rsidP="00861726">
            <w:pPr>
              <w:spacing w:line="360" w:lineRule="auto"/>
              <w:jc w:val="both"/>
              <w:rPr>
                <w:color w:val="000000" w:themeColor="text1"/>
                <w:sz w:val="24"/>
                <w:szCs w:val="24"/>
              </w:rPr>
            </w:pPr>
          </w:p>
        </w:tc>
      </w:tr>
    </w:tbl>
    <w:p w14:paraId="3176CEEA" w14:textId="77777777" w:rsidR="00D4308B" w:rsidRPr="00861726" w:rsidRDefault="00D4308B" w:rsidP="00861726">
      <w:pPr>
        <w:spacing w:after="120" w:line="360" w:lineRule="auto"/>
        <w:jc w:val="both"/>
        <w:rPr>
          <w:color w:val="000000" w:themeColor="text1"/>
          <w:sz w:val="24"/>
          <w:szCs w:val="24"/>
        </w:rPr>
      </w:pPr>
    </w:p>
    <w:p w14:paraId="35ECA74C" w14:textId="77777777" w:rsidR="00D4308B" w:rsidRPr="00861726" w:rsidRDefault="00000000" w:rsidP="00861726">
      <w:pPr>
        <w:spacing w:before="160" w:after="80" w:line="360" w:lineRule="auto"/>
        <w:jc w:val="both"/>
        <w:rPr>
          <w:color w:val="000000" w:themeColor="text1"/>
          <w:sz w:val="24"/>
          <w:szCs w:val="24"/>
        </w:rPr>
      </w:pPr>
      <w:r w:rsidRPr="00861726">
        <w:rPr>
          <w:b/>
          <w:bCs/>
          <w:i/>
          <w:iCs/>
          <w:color w:val="000000" w:themeColor="text1"/>
          <w:sz w:val="24"/>
          <w:szCs w:val="24"/>
        </w:rPr>
        <w:t xml:space="preserve">Land use, rivers &amp; groundwater (n </w:t>
      </w:r>
      <w:r w:rsidR="00C9038F" w:rsidRPr="00861726">
        <w:rPr>
          <w:b/>
          <w:bCs/>
          <w:i/>
          <w:iCs/>
          <w:color w:val="000000" w:themeColor="text1"/>
          <w:sz w:val="24"/>
          <w:szCs w:val="24"/>
        </w:rPr>
        <w:t>=</w:t>
      </w:r>
      <w:r w:rsidRPr="00861726">
        <w:rPr>
          <w:b/>
          <w:bCs/>
          <w:i/>
          <w:iCs/>
          <w:color w:val="000000" w:themeColor="text1"/>
          <w:sz w:val="24"/>
          <w:szCs w:val="24"/>
        </w:rPr>
        <w:t xml:space="preserve"> 259)</w:t>
      </w:r>
    </w:p>
    <w:p w14:paraId="52DAE29A"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groundwater (0.0183), river (0.0133), land (0.0129), ecological (0.0101), soil (0.008), surface (0.007), lake (0.0068), basin (0.0056), use (0.0056), delta (0.0053), flow (0.0051), vegetation (0.005), development (0.0047), china (0.0046), arid (0.0046)</w:t>
      </w:r>
    </w:p>
    <w:p w14:paraId="32341F8A" w14:textId="77777777" w:rsidR="00D4308B" w:rsidRPr="00861726" w:rsidRDefault="00000000" w:rsidP="00861726">
      <w:pPr>
        <w:spacing w:before="160" w:after="80" w:line="360" w:lineRule="auto"/>
        <w:jc w:val="both"/>
        <w:rPr>
          <w:color w:val="000000" w:themeColor="text1"/>
          <w:sz w:val="24"/>
          <w:szCs w:val="24"/>
        </w:rPr>
      </w:pPr>
      <w:r w:rsidRPr="00861726">
        <w:rPr>
          <w:b/>
          <w:bCs/>
          <w:i/>
          <w:iCs/>
          <w:color w:val="000000" w:themeColor="text1"/>
          <w:sz w:val="24"/>
          <w:szCs w:val="24"/>
        </w:rPr>
        <w:t xml:space="preserve">Salinization ecology &amp; biodiversity (n </w:t>
      </w:r>
      <w:r w:rsidR="00C9038F" w:rsidRPr="00861726">
        <w:rPr>
          <w:b/>
          <w:bCs/>
          <w:i/>
          <w:iCs/>
          <w:color w:val="000000" w:themeColor="text1"/>
          <w:sz w:val="24"/>
          <w:szCs w:val="24"/>
        </w:rPr>
        <w:t>=</w:t>
      </w:r>
      <w:r w:rsidRPr="00861726">
        <w:rPr>
          <w:b/>
          <w:bCs/>
          <w:i/>
          <w:iCs/>
          <w:color w:val="000000" w:themeColor="text1"/>
          <w:sz w:val="24"/>
          <w:szCs w:val="24"/>
        </w:rPr>
        <w:t xml:space="preserve"> 212)</w:t>
      </w:r>
    </w:p>
    <w:p w14:paraId="14AAB2B3"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species (0.0096), freshwater (0.0083), salinization (0.0063), salt (0.0062), ecosystems (0.0062), change (0.0059), australia (0.0056), aquatic (0.0056), biodiversity (0.0055), climate (0.0052), lakes (0.0047), management (0.0047), environmental (0.0045), concentrations (0.0043), changes (0.0042)</w:t>
      </w:r>
    </w:p>
    <w:p w14:paraId="73962E07" w14:textId="77777777" w:rsidR="00D4308B" w:rsidRPr="00861726" w:rsidRDefault="00000000" w:rsidP="00861726">
      <w:pPr>
        <w:spacing w:before="160" w:after="80" w:line="360" w:lineRule="auto"/>
        <w:jc w:val="both"/>
        <w:rPr>
          <w:color w:val="000000" w:themeColor="text1"/>
          <w:sz w:val="24"/>
          <w:szCs w:val="24"/>
        </w:rPr>
      </w:pPr>
      <w:r w:rsidRPr="00861726">
        <w:rPr>
          <w:b/>
          <w:bCs/>
          <w:i/>
          <w:iCs/>
          <w:color w:val="000000" w:themeColor="text1"/>
          <w:sz w:val="24"/>
          <w:szCs w:val="24"/>
        </w:rPr>
        <w:t xml:space="preserve">Soil salinization &amp; vegetation (n </w:t>
      </w:r>
      <w:r w:rsidR="00C9038F" w:rsidRPr="00861726">
        <w:rPr>
          <w:b/>
          <w:bCs/>
          <w:i/>
          <w:iCs/>
          <w:color w:val="000000" w:themeColor="text1"/>
          <w:sz w:val="24"/>
          <w:szCs w:val="24"/>
        </w:rPr>
        <w:t>=</w:t>
      </w:r>
      <w:r w:rsidRPr="00861726">
        <w:rPr>
          <w:b/>
          <w:bCs/>
          <w:i/>
          <w:iCs/>
          <w:color w:val="000000" w:themeColor="text1"/>
          <w:sz w:val="24"/>
          <w:szCs w:val="24"/>
        </w:rPr>
        <w:t xml:space="preserve"> 173)</w:t>
      </w:r>
    </w:p>
    <w:p w14:paraId="6370BACD"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soil (0.0555), salt (0.0114), soil salinity (0.0099), saline (0.0098), plant (0.0096), content (0.0074), soils (0.0072), microbial (0.0068), community (0.0068), carbon (0.0065), organic (0.0058), soil salinization (0.0053), plants (0.0052), species (0.0046), nitrogen (0.0044)</w:t>
      </w:r>
    </w:p>
    <w:p w14:paraId="76BB38D7" w14:textId="77777777" w:rsidR="00D4308B" w:rsidRPr="00861726" w:rsidRDefault="00000000" w:rsidP="00861726">
      <w:pPr>
        <w:spacing w:before="160" w:after="80" w:line="360" w:lineRule="auto"/>
        <w:jc w:val="both"/>
        <w:rPr>
          <w:color w:val="000000" w:themeColor="text1"/>
          <w:sz w:val="24"/>
          <w:szCs w:val="24"/>
        </w:rPr>
      </w:pPr>
      <w:r w:rsidRPr="00861726">
        <w:rPr>
          <w:b/>
          <w:bCs/>
          <w:i/>
          <w:iCs/>
          <w:color w:val="000000" w:themeColor="text1"/>
          <w:sz w:val="24"/>
          <w:szCs w:val="24"/>
        </w:rPr>
        <w:t xml:space="preserve">Coastal squeeze &amp; sea-level rise (n </w:t>
      </w:r>
      <w:r w:rsidR="00C9038F" w:rsidRPr="00861726">
        <w:rPr>
          <w:b/>
          <w:bCs/>
          <w:i/>
          <w:iCs/>
          <w:color w:val="000000" w:themeColor="text1"/>
          <w:sz w:val="24"/>
          <w:szCs w:val="24"/>
        </w:rPr>
        <w:t>=</w:t>
      </w:r>
      <w:r w:rsidRPr="00861726">
        <w:rPr>
          <w:b/>
          <w:bCs/>
          <w:i/>
          <w:iCs/>
          <w:color w:val="000000" w:themeColor="text1"/>
          <w:sz w:val="24"/>
          <w:szCs w:val="24"/>
        </w:rPr>
        <w:t xml:space="preserve"> 131)</w:t>
      </w:r>
    </w:p>
    <w:p w14:paraId="07807F4E"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lastRenderedPageBreak/>
        <w:t>coastal (0.0286), sea (0.0166), level (0.014), sea level (0.0119), freshwater (0.0109), rise (0.0105), level rise (0.0091), tidal (0.0088), marsh (0.0087), saltwater (0.0079), intrusion (0.0065), salt (0.0059), change (0.0057), ecosystem (0.0052), climate (0.0049)</w:t>
      </w:r>
    </w:p>
    <w:p w14:paraId="67A075BA" w14:textId="77777777" w:rsidR="00D4308B" w:rsidRPr="00861726" w:rsidRDefault="00000000" w:rsidP="00861726">
      <w:pPr>
        <w:pStyle w:val="Heading1"/>
        <w:spacing w:line="360" w:lineRule="auto"/>
        <w:jc w:val="both"/>
        <w:rPr>
          <w:color w:val="000000" w:themeColor="text1"/>
          <w:sz w:val="24"/>
          <w:szCs w:val="24"/>
        </w:rPr>
      </w:pPr>
      <w:r w:rsidRPr="00861726">
        <w:rPr>
          <w:color w:val="000000" w:themeColor="text1"/>
          <w:sz w:val="24"/>
          <w:szCs w:val="24"/>
        </w:rPr>
        <w:t>Appendix S5. Characteristics and quality appraisal of the 23 core studies</w:t>
      </w:r>
    </w:p>
    <w:p w14:paraId="11D148B9"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 xml:space="preserve">Each core study carried into the mechanistic synthesis (Section 5) is characterized below by system, location, design, dominant salinization driver and evidence type, and appraised on three dimensions </w:t>
      </w:r>
      <w:r w:rsidR="00C9038F" w:rsidRPr="00861726">
        <w:rPr>
          <w:color w:val="000000" w:themeColor="text1"/>
          <w:sz w:val="24"/>
          <w:szCs w:val="24"/>
        </w:rPr>
        <w:t>-</w:t>
      </w:r>
      <w:r w:rsidRPr="00861726">
        <w:rPr>
          <w:color w:val="000000" w:themeColor="text1"/>
          <w:sz w:val="24"/>
          <w:szCs w:val="24"/>
        </w:rPr>
        <w:t xml:space="preserve"> strength of causal attribution (Attr.), directness of evidence (Direct.), and relevance to urban planning/management (Relev.) </w:t>
      </w:r>
      <w:r w:rsidR="00C9038F" w:rsidRPr="00861726">
        <w:rPr>
          <w:color w:val="000000" w:themeColor="text1"/>
          <w:sz w:val="24"/>
          <w:szCs w:val="24"/>
        </w:rPr>
        <w:t>-</w:t>
      </w:r>
      <w:r w:rsidRPr="00861726">
        <w:rPr>
          <w:color w:val="000000" w:themeColor="text1"/>
          <w:sz w:val="24"/>
          <w:szCs w:val="24"/>
        </w:rPr>
        <w:t xml:space="preserve"> each scored Low/Medium/High. The appraisal is intended to make the evidential weight of each study transparent; no study was excluded </w:t>
      </w:r>
      <w:r w:rsidR="00C9038F" w:rsidRPr="00861726">
        <w:rPr>
          <w:color w:val="000000" w:themeColor="text1"/>
          <w:sz w:val="24"/>
          <w:szCs w:val="24"/>
        </w:rPr>
        <w:t>based on</w:t>
      </w:r>
      <w:r w:rsidRPr="00861726">
        <w:rPr>
          <w:color w:val="000000" w:themeColor="text1"/>
          <w:sz w:val="24"/>
          <w:szCs w:val="24"/>
        </w:rPr>
        <w:t xml:space="preserve"> its scores.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1"/>
        <w:gridCol w:w="1158"/>
        <w:gridCol w:w="1216"/>
        <w:gridCol w:w="1642"/>
        <w:gridCol w:w="1100"/>
        <w:gridCol w:w="858"/>
        <w:gridCol w:w="771"/>
        <w:gridCol w:w="771"/>
        <w:gridCol w:w="771"/>
      </w:tblGrid>
      <w:tr w:rsidR="00D4308B" w:rsidRPr="00861726" w14:paraId="42B8EB20" w14:textId="77777777" w:rsidTr="00C9038F">
        <w:trPr>
          <w:tblHeader/>
        </w:trPr>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4DFA71E" w14:textId="77777777" w:rsidR="00D4308B" w:rsidRPr="00861726" w:rsidRDefault="00000000" w:rsidP="00861726">
            <w:pPr>
              <w:spacing w:line="360" w:lineRule="auto"/>
              <w:jc w:val="both"/>
              <w:rPr>
                <w:b/>
                <w:bCs/>
                <w:color w:val="000000" w:themeColor="text1"/>
                <w:sz w:val="24"/>
                <w:szCs w:val="24"/>
              </w:rPr>
            </w:pPr>
            <w:r w:rsidRPr="00861726">
              <w:rPr>
                <w:b/>
                <w:bCs/>
                <w:color w:val="000000" w:themeColor="text1"/>
                <w:sz w:val="24"/>
                <w:szCs w:val="24"/>
              </w:rPr>
              <w:t>Study</w:t>
            </w:r>
          </w:p>
          <w:p w14:paraId="331AEF6F" w14:textId="77777777" w:rsidR="0072055E" w:rsidRPr="00861726" w:rsidRDefault="0072055E" w:rsidP="00861726">
            <w:pPr>
              <w:spacing w:line="360" w:lineRule="auto"/>
              <w:jc w:val="both"/>
              <w:rPr>
                <w:color w:val="000000" w:themeColor="text1"/>
                <w:sz w:val="24"/>
                <w:szCs w:val="24"/>
              </w:rPr>
            </w:pP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B603E62"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System</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645ECE7"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Location</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39E0F57"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Design</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1BF6A00"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Driver</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7526354"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Evidence</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EB98BD8"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Attr.</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F36C0C1"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Direct.</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28D5313" w14:textId="77777777" w:rsidR="00D4308B" w:rsidRPr="00861726" w:rsidRDefault="00000000" w:rsidP="00861726">
            <w:pPr>
              <w:spacing w:line="360" w:lineRule="auto"/>
              <w:jc w:val="both"/>
              <w:rPr>
                <w:color w:val="000000" w:themeColor="text1"/>
                <w:sz w:val="24"/>
                <w:szCs w:val="24"/>
              </w:rPr>
            </w:pPr>
            <w:r w:rsidRPr="00861726">
              <w:rPr>
                <w:b/>
                <w:bCs/>
                <w:color w:val="000000" w:themeColor="text1"/>
                <w:sz w:val="24"/>
                <w:szCs w:val="24"/>
              </w:rPr>
              <w:t>Relev.</w:t>
            </w:r>
          </w:p>
        </w:tc>
      </w:tr>
      <w:tr w:rsidR="00D4308B" w:rsidRPr="00861726" w14:paraId="527C9D31"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B2101B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Kaushal et al. 2021</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C4ABFB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Freshwater systems (review)</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AA89B5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 / N. America</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15CB26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C35B43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Multiple (FSS)</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34ECFA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180622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542460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A84C4B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3993CACA"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1A7377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Herbert et al. 2015</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708BCA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Freshwater wetlands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53B4C3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EE8584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28FD51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Salinization</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2EEB4C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A997BC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D2E3A1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177520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38836B07"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5D769D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Tully et al. 2019</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40461B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farms/forests</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72609E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Eastern USA</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9564A3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E6915E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Saltwater intrusion</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079885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171755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8B023E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85D90A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64541FF4"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4ADB7E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Middleton &amp; Souter 2016</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774A98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Forested wetlands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1996C8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USA/Australia</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5E4420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 + field</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0C5734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SLR / hydrologic change</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1E49D9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Mixed</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A7DD30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815064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799F037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4025688E"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A5AB11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lastRenderedPageBreak/>
              <w:t>Gu et al. 2018</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448132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Salt marshes</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C136C3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China</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02AC0B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Quantitative trend</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330CED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squeeze / land use</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27B6F6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46CF0A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259C9C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99FBD1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14C940AB"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7628E39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Borchert et al. 2018</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9AF965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wetlands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02808F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USA</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AED82E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Spatial modeling</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4C41CE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SLR / coastal squeeze</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295C69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Modeling</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6F0BF0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CDCB15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98CACA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339251DC"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7C28F1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Bhattachan et al. 2018</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DF8AE0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landscapes</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838939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Eastern USA</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D81D96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Field + modeling</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97EE37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Saltwater intrusion</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3E9474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Mixed</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75FB8E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E45F89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D5DD3C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7857C0AD"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F5B333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Safi et al. 2018</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8C8E46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aquifers/cities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DF017D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Lebanon (Beirut)</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ECE8E2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Case + policy</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531721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Saltwater intrusion</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4F203F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38E018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9DC7A3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A4A883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34A5051A"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98796D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Czajkowski et al. 2017</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1B3C3C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Urban groundwater</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869755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 Florida, USA</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0C672B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Hydro-economic model</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82C1C4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Saltwater intrusion</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F46311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Modeling</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2D693B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CED316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28C8A5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5723058C"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9C17ED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Carol et al. 2015</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F2B505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Freshwater lenses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BB55AA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Argentina</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76415C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Hydrogeochemistry</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5A4745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Upconing / intrusion</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10F3F6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0FF8B6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693274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657F37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r>
      <w:tr w:rsidR="00D4308B" w:rsidRPr="00861726" w14:paraId="438E1B77"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598C15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Holland et al. 2006</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03E45F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Riparian forest (Eucalyptus)</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00F6F2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Lower Murray, Australia</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B27CAC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Field</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09B824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Groundwater salinization</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8E1779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CB4E21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252AC8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8B2846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r>
      <w:tr w:rsidR="00D4308B" w:rsidRPr="00861726" w14:paraId="0220AD08"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DC078F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White &amp; Kaplan 2017</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BEDD30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wetlands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DC4B27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USA</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DFE742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5BB444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Saltwater intrusion</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C381E0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FE4ED8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C78243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811135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2CE50B4D"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A9AC20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lastRenderedPageBreak/>
              <w:t>Moomaw et al. 2018</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E117FB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Wetlands (carbon)</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05EBBF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D5EF7E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Synthesis/policy</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F596A0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Climate / management</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4466EB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D11E48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277FF0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07FAB8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7D54AD30"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9EF62F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Waltham et al. 2019</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FB456F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Floodplain wetlands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47985F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Great Barrier Reef, Aus.</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5154A1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Case / restoration</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CC7594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Connectivity / salinity</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6B7B56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0B62ED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830D25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40134D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4E64AE3D"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484F42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Coppenolle &amp; Temmerman 2019</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B97AE1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Tidal wetlands</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4FFC45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 cities</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31AFE0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Spatial analysis</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D8FA7D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SLR / NbS</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B26820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Modeling</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F58073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F1A72D2"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4B3BCF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0B20A59D"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77D2C9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Narayan et al. 2017</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824227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wetlands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D4B6DB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NE USA</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1BC3B8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Quantitative valuation</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D44792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Flood / storm</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6E9394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C46CCF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331920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FBB9A7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2EDAC701"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E7E334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Gornitz 1991</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A8304D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Coastal zones</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F5C7283"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8A1C1F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Hazard assessment</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09BDBC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SLR</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64C3FF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63E76D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561F1F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Low</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98C851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r>
      <w:tr w:rsidR="00D4308B" w:rsidRPr="00861726" w14:paraId="1D203BC6"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A1150A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Nielsen et al. 2003</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550B220"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Freshwater ecosystems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3CE2EB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Australia</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7E3326B"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Experimental/review</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2120A1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Salinity</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919D85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Mixed</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F8C6B9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908B40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DF0775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r>
      <w:tr w:rsidR="00D4308B" w:rsidRPr="00861726" w14:paraId="4BED620F"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8A1E09C"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Reid et al. 2019</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532BE0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Freshwater biodiversity</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6B0E80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BC284D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06F620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Multiple threats</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C10A7A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5FC3D8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8D0728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Low</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FC677C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r>
      <w:tr w:rsidR="00D4308B" w:rsidRPr="00861726" w14:paraId="3B43672B"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CD7BAB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Davidson 2014</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2B2282C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Wetlands (area)</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5FEE73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7EF96FF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Quantitative review</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24A278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Loss / conversion</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1DB788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4BABB10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4B244A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600E44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r>
      <w:tr w:rsidR="00D4308B" w:rsidRPr="00861726" w14:paraId="13763AE7"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3D9A68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lastRenderedPageBreak/>
              <w:t>Alikhani et al. 2021</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FD55A1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Urban wetlands</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6EDD2C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Global</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CBD40B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Review</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3688D7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Urbanization</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D06DD2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Synthesis</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B5FD8DE"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270FAE7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Low</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FA4E1C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7D6E2AFD" w14:textId="77777777" w:rsidTr="00C9038F">
        <w:tc>
          <w:tcPr>
            <w:tcW w:w="57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39BE7ED1"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Mukherjee 2015</w:t>
            </w:r>
          </w:p>
        </w:tc>
        <w:tc>
          <w:tcPr>
            <w:tcW w:w="622"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C13FC0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Urban wetlands</w:t>
            </w:r>
          </w:p>
        </w:tc>
        <w:tc>
          <w:tcPr>
            <w:tcW w:w="6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5B88C2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Kolkata, India</w:t>
            </w:r>
          </w:p>
        </w:tc>
        <w:tc>
          <w:tcPr>
            <w:tcW w:w="893"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3E5BECA"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Case study</w:t>
            </w:r>
          </w:p>
        </w:tc>
        <w:tc>
          <w:tcPr>
            <w:tcW w:w="589"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6FD5003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Urbanization</w:t>
            </w:r>
          </w:p>
        </w:tc>
        <w:tc>
          <w:tcPr>
            <w:tcW w:w="454"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5975CD4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175085A5"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723B98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tcMar>
              <w:top w:w="40" w:type="dxa"/>
              <w:left w:w="90" w:type="dxa"/>
              <w:bottom w:w="40" w:type="dxa"/>
              <w:right w:w="90" w:type="dxa"/>
            </w:tcMar>
          </w:tcPr>
          <w:p w14:paraId="009208F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High</w:t>
            </w:r>
          </w:p>
        </w:tc>
      </w:tr>
      <w:tr w:rsidR="00D4308B" w:rsidRPr="00861726" w14:paraId="43270B9E" w14:textId="77777777" w:rsidTr="00C9038F">
        <w:tc>
          <w:tcPr>
            <w:tcW w:w="57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06742E8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Stanley &amp; Warne 1998</w:t>
            </w:r>
          </w:p>
        </w:tc>
        <w:tc>
          <w:tcPr>
            <w:tcW w:w="622"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32292DA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Delta</w:t>
            </w:r>
          </w:p>
        </w:tc>
        <w:tc>
          <w:tcPr>
            <w:tcW w:w="6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70CA6119"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Nile, Egypt</w:t>
            </w:r>
          </w:p>
        </w:tc>
        <w:tc>
          <w:tcPr>
            <w:tcW w:w="893"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EFBE3B6"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Geomorphic analysis</w:t>
            </w:r>
          </w:p>
        </w:tc>
        <w:tc>
          <w:tcPr>
            <w:tcW w:w="589"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405B78AF"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Subsidence / salinization</w:t>
            </w:r>
          </w:p>
        </w:tc>
        <w:tc>
          <w:tcPr>
            <w:tcW w:w="454"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1031BAED"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Primary</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EDCD868"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59670477"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c>
          <w:tcPr>
            <w:tcW w:w="405" w:type="pct"/>
            <w:tcBorders>
              <w:top w:val="single" w:sz="1" w:space="0" w:color="AAAAAA"/>
              <w:left w:val="single" w:sz="1" w:space="0" w:color="AAAAAA"/>
              <w:bottom w:val="single" w:sz="1" w:space="0" w:color="AAAAAA"/>
              <w:right w:val="single" w:sz="1" w:space="0" w:color="AAAAAA"/>
            </w:tcBorders>
            <w:shd w:val="clear" w:color="auto" w:fill="F3F5F8"/>
            <w:tcMar>
              <w:top w:w="40" w:type="dxa"/>
              <w:left w:w="90" w:type="dxa"/>
              <w:bottom w:w="40" w:type="dxa"/>
              <w:right w:w="90" w:type="dxa"/>
            </w:tcMar>
          </w:tcPr>
          <w:p w14:paraId="60233EA4" w14:textId="77777777" w:rsidR="00D4308B" w:rsidRPr="00861726" w:rsidRDefault="00000000" w:rsidP="00861726">
            <w:pPr>
              <w:spacing w:line="360" w:lineRule="auto"/>
              <w:jc w:val="both"/>
              <w:rPr>
                <w:color w:val="000000" w:themeColor="text1"/>
                <w:sz w:val="24"/>
                <w:szCs w:val="24"/>
              </w:rPr>
            </w:pPr>
            <w:r w:rsidRPr="00861726">
              <w:rPr>
                <w:color w:val="000000" w:themeColor="text1"/>
                <w:sz w:val="24"/>
                <w:szCs w:val="24"/>
              </w:rPr>
              <w:t>Medium</w:t>
            </w:r>
          </w:p>
        </w:tc>
      </w:tr>
    </w:tbl>
    <w:p w14:paraId="4BF597C5" w14:textId="77777777" w:rsidR="00D4308B" w:rsidRPr="00861726" w:rsidRDefault="00D4308B" w:rsidP="00861726">
      <w:pPr>
        <w:spacing w:after="120" w:line="360" w:lineRule="auto"/>
        <w:jc w:val="both"/>
        <w:rPr>
          <w:color w:val="000000" w:themeColor="text1"/>
          <w:sz w:val="24"/>
          <w:szCs w:val="24"/>
        </w:rPr>
      </w:pPr>
    </w:p>
    <w:p w14:paraId="27CC4592" w14:textId="77777777" w:rsidR="00D4308B" w:rsidRPr="00861726" w:rsidRDefault="00000000" w:rsidP="00861726">
      <w:pPr>
        <w:spacing w:after="160" w:line="360" w:lineRule="auto"/>
        <w:jc w:val="both"/>
        <w:rPr>
          <w:color w:val="000000" w:themeColor="text1"/>
          <w:sz w:val="24"/>
          <w:szCs w:val="24"/>
        </w:rPr>
      </w:pPr>
      <w:r w:rsidRPr="00861726">
        <w:rPr>
          <w:color w:val="000000" w:themeColor="text1"/>
          <w:sz w:val="24"/>
          <w:szCs w:val="24"/>
        </w:rPr>
        <w:t xml:space="preserve">Attr. </w:t>
      </w:r>
      <w:r w:rsidR="00C9038F" w:rsidRPr="00861726">
        <w:rPr>
          <w:color w:val="000000" w:themeColor="text1"/>
          <w:sz w:val="24"/>
          <w:szCs w:val="24"/>
        </w:rPr>
        <w:t>=</w:t>
      </w:r>
      <w:r w:rsidRPr="00861726">
        <w:rPr>
          <w:color w:val="000000" w:themeColor="text1"/>
          <w:sz w:val="24"/>
          <w:szCs w:val="24"/>
        </w:rPr>
        <w:t xml:space="preserve"> strength of causal attribution; Direct. </w:t>
      </w:r>
      <w:r w:rsidR="00C9038F" w:rsidRPr="00861726">
        <w:rPr>
          <w:color w:val="000000" w:themeColor="text1"/>
          <w:sz w:val="24"/>
          <w:szCs w:val="24"/>
        </w:rPr>
        <w:t>=</w:t>
      </w:r>
      <w:r w:rsidRPr="00861726">
        <w:rPr>
          <w:color w:val="000000" w:themeColor="text1"/>
          <w:sz w:val="24"/>
          <w:szCs w:val="24"/>
        </w:rPr>
        <w:t xml:space="preserve"> directness of evidence (primary field/empirical vs. synthesis/modeling); Relev. </w:t>
      </w:r>
      <w:r w:rsidR="00C9038F" w:rsidRPr="00861726">
        <w:rPr>
          <w:color w:val="000000" w:themeColor="text1"/>
          <w:sz w:val="24"/>
          <w:szCs w:val="24"/>
        </w:rPr>
        <w:t>=</w:t>
      </w:r>
      <w:r w:rsidRPr="00861726">
        <w:rPr>
          <w:color w:val="000000" w:themeColor="text1"/>
          <w:sz w:val="24"/>
          <w:szCs w:val="24"/>
        </w:rPr>
        <w:t xml:space="preserve"> relevance to urban planning or management.</w:t>
      </w:r>
    </w:p>
    <w:p w14:paraId="6295C62F" w14:textId="77777777" w:rsidR="00D22766" w:rsidRPr="00861726" w:rsidRDefault="00000000" w:rsidP="00861726">
      <w:pPr>
        <w:pStyle w:val="Heading1"/>
        <w:spacing w:line="360" w:lineRule="auto"/>
        <w:jc w:val="both"/>
        <w:rPr>
          <w:color w:val="000000" w:themeColor="text1"/>
          <w:sz w:val="24"/>
          <w:szCs w:val="24"/>
        </w:rPr>
      </w:pPr>
      <w:r w:rsidRPr="00861726">
        <w:rPr>
          <w:color w:val="000000" w:themeColor="text1"/>
          <w:sz w:val="24"/>
          <w:szCs w:val="24"/>
        </w:rPr>
        <w:t>Appendix S6. Science–planning interface analyses</w:t>
      </w:r>
    </w:p>
    <w:p w14:paraId="26E0D23E" w14:textId="77777777" w:rsidR="00D22766" w:rsidRPr="00861726" w:rsidRDefault="00000000" w:rsidP="00861726">
      <w:pPr>
        <w:spacing w:line="360" w:lineRule="auto"/>
        <w:jc w:val="both"/>
        <w:rPr>
          <w:color w:val="000000" w:themeColor="text1"/>
          <w:sz w:val="24"/>
          <w:szCs w:val="24"/>
        </w:rPr>
      </w:pPr>
      <w:r w:rsidRPr="00861726">
        <w:rPr>
          <w:i/>
          <w:color w:val="000000" w:themeColor="text1"/>
          <w:sz w:val="24"/>
          <w:szCs w:val="24"/>
        </w:rPr>
        <w:t>This appendix documents the two lexicon-based analyses reported in Section 4.6 and Figure 4 of the main text, so that they can be reproduced and their sensitivity tested. Both are co-mention counts over the combined title, abstract, author-keyword and index-keyword text of all 775 records, computed by case-insensitive substring matching. They index how often topics are discussed together, not whether a coupling has been empirically demonstrated or is effective.</w:t>
      </w:r>
    </w:p>
    <w:p w14:paraId="19EE4DD9"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S6.1 Term lists (lexicons)</w:t>
      </w:r>
    </w:p>
    <w:p w14:paraId="662D2F95"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Planning / governance lexicon (“engagement” term set): planning, land use, land-use, land management, zoning, spatial plan, master plan, urban plan, governance, policy, policies, regulation, regulatory, statutory, management plan, accommodation space, managed realignment, managed retreat, setback, buffer zone, migration corridor, environmental flow, e-flow, environmental water, decision-making, decision making, stakeholder, institutional, land-use change, catchment management, integrated management, adaptation planning, coastal management, wetland management.</w:t>
      </w:r>
    </w:p>
    <w:p w14:paraId="6E875858"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Driver term sets:</w:t>
      </w:r>
    </w:p>
    <w:p w14:paraId="5955136A"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lastRenderedPageBreak/>
        <w:t xml:space="preserve">  • FSS / inland salinization: freshwater salinization syndrome, road salt, de-icing, deicing, alkaliniz, internal eutrophication, ion exchange, weathering, sulfid, sulphid, salt loading, chloride.</w:t>
      </w:r>
    </w:p>
    <w:p w14:paraId="2FD6B5A1"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 xml:space="preserve">  • Saltwater intrusion: saltwater intrusion, salt-water intrusion, seawater intrusion, sea water intrusion, saline intrusion, salt wedge, aquifer saliniz.</w:t>
      </w:r>
    </w:p>
    <w:p w14:paraId="5B02BF72"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 xml:space="preserve">  • Coastal squeeze / SLR: coastal squeeze, sea level rise, sea-level rise, landward migration, marsh migration, wetland migration, transgression, accommodation space.</w:t>
      </w:r>
    </w:p>
    <w:p w14:paraId="13777014"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 xml:space="preserve">  • Forested-wetland decline: ghost forest, forest retreat, tree mortality, regeneration failure, recruitment, tidal freshwater forest, dieback, canopy.</w:t>
      </w:r>
    </w:p>
    <w:p w14:paraId="681365D0"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Planning-instrument term sets:</w:t>
      </w:r>
    </w:p>
    <w:p w14:paraId="4B35BF64"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 xml:space="preserve">  • Recruitment-based restoration: restoration, recruitment, revegetat, replant, early detection, monitoring, assisted migration, planting.</w:t>
      </w:r>
    </w:p>
    <w:p w14:paraId="67FC4F92"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 xml:space="preserve">  • Environmental flows / flushing: environmental flow, e-flow, environmental water, freshwater release, flushing, flow regime, water allocation, managed flooding, hydrological restoration.</w:t>
      </w:r>
    </w:p>
    <w:p w14:paraId="558571A0"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 xml:space="preserve">  • Accommodation-space zoning: accommodation space, zoning, setback, buffer, migration corridor, managed realignment, managed retreat, land use plan, land-use plan, spatial plan.</w:t>
      </w:r>
    </w:p>
    <w:p w14:paraId="7B64DBF1"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 xml:space="preserve">  • Groundwater / drainage governance: groundwater management, abstraction, pumping, drainage, ditch, canal, water table, aquifer management, extraction, tide gate, sluice.</w:t>
      </w:r>
    </w:p>
    <w:p w14:paraId="67569E11"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S6.2 Science–planning engagement by period (Fig. 4A)</w:t>
      </w:r>
    </w:p>
    <w:tbl>
      <w:tblPr>
        <w:tblW w:w="0" w:type="auto"/>
        <w:tblLook w:val="04A0" w:firstRow="1" w:lastRow="0" w:firstColumn="1" w:lastColumn="0" w:noHBand="0" w:noVBand="1"/>
      </w:tblPr>
      <w:tblGrid>
        <w:gridCol w:w="2340"/>
        <w:gridCol w:w="2340"/>
        <w:gridCol w:w="2340"/>
        <w:gridCol w:w="2340"/>
      </w:tblGrid>
      <w:tr w:rsidR="00D22766" w:rsidRPr="00861726" w14:paraId="35B47980" w14:textId="77777777">
        <w:tc>
          <w:tcPr>
            <w:tcW w:w="2340" w:type="dxa"/>
            <w:tcBorders>
              <w:top w:val="single" w:sz="8" w:space="0" w:color="000000"/>
              <w:bottom w:val="single" w:sz="6" w:space="0" w:color="000000"/>
            </w:tcBorders>
          </w:tcPr>
          <w:p w14:paraId="00FAD336"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Period</w:t>
            </w:r>
          </w:p>
        </w:tc>
        <w:tc>
          <w:tcPr>
            <w:tcW w:w="2340" w:type="dxa"/>
            <w:tcBorders>
              <w:top w:val="single" w:sz="8" w:space="0" w:color="000000"/>
              <w:bottom w:val="single" w:sz="6" w:space="0" w:color="000000"/>
            </w:tcBorders>
          </w:tcPr>
          <w:p w14:paraId="31857AB6"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Records</w:t>
            </w:r>
          </w:p>
        </w:tc>
        <w:tc>
          <w:tcPr>
            <w:tcW w:w="2340" w:type="dxa"/>
            <w:tcBorders>
              <w:top w:val="single" w:sz="8" w:space="0" w:color="000000"/>
              <w:bottom w:val="single" w:sz="6" w:space="0" w:color="000000"/>
            </w:tcBorders>
          </w:tcPr>
          <w:p w14:paraId="68C16584"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Records engaging planning/</w:t>
            </w:r>
            <w:r w:rsidRPr="00861726">
              <w:rPr>
                <w:b/>
                <w:color w:val="000000" w:themeColor="text1"/>
                <w:sz w:val="24"/>
                <w:szCs w:val="24"/>
              </w:rPr>
              <w:br/>
              <w:t>governance vocabulary</w:t>
            </w:r>
          </w:p>
        </w:tc>
        <w:tc>
          <w:tcPr>
            <w:tcW w:w="2340" w:type="dxa"/>
            <w:tcBorders>
              <w:top w:val="single" w:sz="8" w:space="0" w:color="000000"/>
              <w:bottom w:val="single" w:sz="6" w:space="0" w:color="000000"/>
            </w:tcBorders>
          </w:tcPr>
          <w:p w14:paraId="5E6076A5"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 engaging</w:t>
            </w:r>
          </w:p>
        </w:tc>
      </w:tr>
      <w:tr w:rsidR="00D22766" w:rsidRPr="00861726" w14:paraId="580D1686" w14:textId="77777777">
        <w:tc>
          <w:tcPr>
            <w:tcW w:w="2340" w:type="dxa"/>
          </w:tcPr>
          <w:p w14:paraId="67A5EA01"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≤2000</w:t>
            </w:r>
          </w:p>
        </w:tc>
        <w:tc>
          <w:tcPr>
            <w:tcW w:w="2340" w:type="dxa"/>
          </w:tcPr>
          <w:p w14:paraId="630F25A4"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41</w:t>
            </w:r>
          </w:p>
        </w:tc>
        <w:tc>
          <w:tcPr>
            <w:tcW w:w="2340" w:type="dxa"/>
          </w:tcPr>
          <w:p w14:paraId="5723F964"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14</w:t>
            </w:r>
          </w:p>
        </w:tc>
        <w:tc>
          <w:tcPr>
            <w:tcW w:w="2340" w:type="dxa"/>
          </w:tcPr>
          <w:p w14:paraId="1A2351FD"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34%</w:t>
            </w:r>
          </w:p>
        </w:tc>
      </w:tr>
      <w:tr w:rsidR="00D22766" w:rsidRPr="00861726" w14:paraId="780F9D7F" w14:textId="77777777">
        <w:tc>
          <w:tcPr>
            <w:tcW w:w="2340" w:type="dxa"/>
          </w:tcPr>
          <w:p w14:paraId="0925F4B1"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2001-2005</w:t>
            </w:r>
          </w:p>
        </w:tc>
        <w:tc>
          <w:tcPr>
            <w:tcW w:w="2340" w:type="dxa"/>
          </w:tcPr>
          <w:p w14:paraId="1028CDE5"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30</w:t>
            </w:r>
          </w:p>
        </w:tc>
        <w:tc>
          <w:tcPr>
            <w:tcW w:w="2340" w:type="dxa"/>
          </w:tcPr>
          <w:p w14:paraId="086F8863"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12</w:t>
            </w:r>
          </w:p>
        </w:tc>
        <w:tc>
          <w:tcPr>
            <w:tcW w:w="2340" w:type="dxa"/>
          </w:tcPr>
          <w:p w14:paraId="39CFE84D"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40%</w:t>
            </w:r>
          </w:p>
        </w:tc>
      </w:tr>
      <w:tr w:rsidR="00D22766" w:rsidRPr="00861726" w14:paraId="1C6B29A4" w14:textId="77777777">
        <w:tc>
          <w:tcPr>
            <w:tcW w:w="2340" w:type="dxa"/>
          </w:tcPr>
          <w:p w14:paraId="0A1A14F0"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2006-2010</w:t>
            </w:r>
          </w:p>
        </w:tc>
        <w:tc>
          <w:tcPr>
            <w:tcW w:w="2340" w:type="dxa"/>
          </w:tcPr>
          <w:p w14:paraId="25A20226"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91</w:t>
            </w:r>
          </w:p>
        </w:tc>
        <w:tc>
          <w:tcPr>
            <w:tcW w:w="2340" w:type="dxa"/>
          </w:tcPr>
          <w:p w14:paraId="53391FCE"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36</w:t>
            </w:r>
          </w:p>
        </w:tc>
        <w:tc>
          <w:tcPr>
            <w:tcW w:w="2340" w:type="dxa"/>
          </w:tcPr>
          <w:p w14:paraId="5185FDEC"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40%</w:t>
            </w:r>
          </w:p>
        </w:tc>
      </w:tr>
      <w:tr w:rsidR="00D22766" w:rsidRPr="00861726" w14:paraId="07B4B0C7" w14:textId="77777777">
        <w:tc>
          <w:tcPr>
            <w:tcW w:w="2340" w:type="dxa"/>
          </w:tcPr>
          <w:p w14:paraId="5629496D"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2011-2015</w:t>
            </w:r>
          </w:p>
        </w:tc>
        <w:tc>
          <w:tcPr>
            <w:tcW w:w="2340" w:type="dxa"/>
          </w:tcPr>
          <w:p w14:paraId="08F2B411"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118</w:t>
            </w:r>
          </w:p>
        </w:tc>
        <w:tc>
          <w:tcPr>
            <w:tcW w:w="2340" w:type="dxa"/>
          </w:tcPr>
          <w:p w14:paraId="61F29F01"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39</w:t>
            </w:r>
          </w:p>
        </w:tc>
        <w:tc>
          <w:tcPr>
            <w:tcW w:w="2340" w:type="dxa"/>
          </w:tcPr>
          <w:p w14:paraId="33CAD75C"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33%</w:t>
            </w:r>
          </w:p>
        </w:tc>
      </w:tr>
      <w:tr w:rsidR="00D22766" w:rsidRPr="00861726" w14:paraId="280C41E0" w14:textId="77777777">
        <w:tc>
          <w:tcPr>
            <w:tcW w:w="2340" w:type="dxa"/>
          </w:tcPr>
          <w:p w14:paraId="39EE794B"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2016-2020</w:t>
            </w:r>
          </w:p>
        </w:tc>
        <w:tc>
          <w:tcPr>
            <w:tcW w:w="2340" w:type="dxa"/>
          </w:tcPr>
          <w:p w14:paraId="0CAFF22A"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179</w:t>
            </w:r>
          </w:p>
        </w:tc>
        <w:tc>
          <w:tcPr>
            <w:tcW w:w="2340" w:type="dxa"/>
          </w:tcPr>
          <w:p w14:paraId="54E9E669"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43</w:t>
            </w:r>
          </w:p>
        </w:tc>
        <w:tc>
          <w:tcPr>
            <w:tcW w:w="2340" w:type="dxa"/>
          </w:tcPr>
          <w:p w14:paraId="2C3929FB"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24%</w:t>
            </w:r>
          </w:p>
        </w:tc>
      </w:tr>
      <w:tr w:rsidR="00D22766" w:rsidRPr="00861726" w14:paraId="630C5836" w14:textId="77777777">
        <w:tc>
          <w:tcPr>
            <w:tcW w:w="2340" w:type="dxa"/>
          </w:tcPr>
          <w:p w14:paraId="7947F0FC"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2021-2025</w:t>
            </w:r>
          </w:p>
        </w:tc>
        <w:tc>
          <w:tcPr>
            <w:tcW w:w="2340" w:type="dxa"/>
          </w:tcPr>
          <w:p w14:paraId="57F4DFBE"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291</w:t>
            </w:r>
          </w:p>
        </w:tc>
        <w:tc>
          <w:tcPr>
            <w:tcW w:w="2340" w:type="dxa"/>
          </w:tcPr>
          <w:p w14:paraId="683860F3"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84</w:t>
            </w:r>
          </w:p>
        </w:tc>
        <w:tc>
          <w:tcPr>
            <w:tcW w:w="2340" w:type="dxa"/>
          </w:tcPr>
          <w:p w14:paraId="55EC3DD1"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29%</w:t>
            </w:r>
          </w:p>
        </w:tc>
      </w:tr>
      <w:tr w:rsidR="00D22766" w:rsidRPr="00861726" w14:paraId="6FE4CE0B" w14:textId="77777777">
        <w:tc>
          <w:tcPr>
            <w:tcW w:w="2340" w:type="dxa"/>
            <w:tcBorders>
              <w:bottom w:val="single" w:sz="8" w:space="0" w:color="000000"/>
            </w:tcBorders>
          </w:tcPr>
          <w:p w14:paraId="6BA0EEEC"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All (1986–</w:t>
            </w:r>
            <w:proofErr w:type="gramStart"/>
            <w:r w:rsidRPr="00861726">
              <w:rPr>
                <w:b/>
                <w:color w:val="000000" w:themeColor="text1"/>
                <w:sz w:val="24"/>
                <w:szCs w:val="24"/>
              </w:rPr>
              <w:t>2025)¹</w:t>
            </w:r>
            <w:proofErr w:type="gramEnd"/>
          </w:p>
        </w:tc>
        <w:tc>
          <w:tcPr>
            <w:tcW w:w="2340" w:type="dxa"/>
            <w:tcBorders>
              <w:bottom w:val="single" w:sz="8" w:space="0" w:color="000000"/>
            </w:tcBorders>
          </w:tcPr>
          <w:p w14:paraId="17FAD5BD"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775</w:t>
            </w:r>
          </w:p>
        </w:tc>
        <w:tc>
          <w:tcPr>
            <w:tcW w:w="2340" w:type="dxa"/>
            <w:tcBorders>
              <w:bottom w:val="single" w:sz="8" w:space="0" w:color="000000"/>
            </w:tcBorders>
          </w:tcPr>
          <w:p w14:paraId="0CE66CD5"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233</w:t>
            </w:r>
          </w:p>
        </w:tc>
        <w:tc>
          <w:tcPr>
            <w:tcW w:w="2340" w:type="dxa"/>
            <w:tcBorders>
              <w:bottom w:val="single" w:sz="8" w:space="0" w:color="000000"/>
            </w:tcBorders>
          </w:tcPr>
          <w:p w14:paraId="7EE9F18E"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30%</w:t>
            </w:r>
          </w:p>
        </w:tc>
      </w:tr>
    </w:tbl>
    <w:p w14:paraId="37C166C5" w14:textId="77777777" w:rsidR="00D22766" w:rsidRPr="00861726" w:rsidRDefault="00000000" w:rsidP="00861726">
      <w:pPr>
        <w:spacing w:line="360" w:lineRule="auto"/>
        <w:jc w:val="both"/>
        <w:rPr>
          <w:color w:val="000000" w:themeColor="text1"/>
          <w:sz w:val="24"/>
          <w:szCs w:val="24"/>
        </w:rPr>
      </w:pPr>
      <w:r w:rsidRPr="00861726">
        <w:rPr>
          <w:i/>
          <w:color w:val="000000" w:themeColor="text1"/>
          <w:sz w:val="24"/>
          <w:szCs w:val="24"/>
        </w:rPr>
        <w:t>¹ Whole corpus including the 25 early-access 2026 records; period rows cover 1986–2025. “% engaging” = records containing ≥1 planning/governance term ÷ records in the period.</w:t>
      </w:r>
    </w:p>
    <w:p w14:paraId="11906744"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S6.3 Driver × planning-instrument coverage matrix (Fig. 4B)</w:t>
      </w:r>
    </w:p>
    <w:tbl>
      <w:tblPr>
        <w:tblW w:w="0" w:type="auto"/>
        <w:tblLook w:val="04A0" w:firstRow="1" w:lastRow="0" w:firstColumn="1" w:lastColumn="0" w:noHBand="0" w:noVBand="1"/>
      </w:tblPr>
      <w:tblGrid>
        <w:gridCol w:w="1391"/>
        <w:gridCol w:w="1589"/>
        <w:gridCol w:w="1763"/>
        <w:gridCol w:w="1976"/>
        <w:gridCol w:w="1616"/>
        <w:gridCol w:w="1025"/>
      </w:tblGrid>
      <w:tr w:rsidR="00D22766" w:rsidRPr="00B12452" w14:paraId="379A2AE9" w14:textId="77777777">
        <w:tc>
          <w:tcPr>
            <w:tcW w:w="1560" w:type="dxa"/>
            <w:tcBorders>
              <w:top w:val="single" w:sz="8" w:space="0" w:color="000000"/>
              <w:bottom w:val="single" w:sz="6" w:space="0" w:color="000000"/>
            </w:tcBorders>
          </w:tcPr>
          <w:p w14:paraId="6BD64B0E" w14:textId="77777777" w:rsidR="00D22766" w:rsidRPr="00B12452" w:rsidRDefault="00000000" w:rsidP="00861726">
            <w:pPr>
              <w:spacing w:line="360" w:lineRule="auto"/>
              <w:jc w:val="both"/>
              <w:rPr>
                <w:b/>
                <w:color w:val="000000" w:themeColor="text1"/>
                <w:sz w:val="24"/>
                <w:szCs w:val="24"/>
              </w:rPr>
            </w:pPr>
            <w:r w:rsidRPr="00B12452">
              <w:rPr>
                <w:b/>
                <w:color w:val="000000" w:themeColor="text1"/>
                <w:sz w:val="24"/>
                <w:szCs w:val="24"/>
              </w:rPr>
              <w:t>Driver \ instrument</w:t>
            </w:r>
          </w:p>
        </w:tc>
        <w:tc>
          <w:tcPr>
            <w:tcW w:w="1560" w:type="dxa"/>
            <w:tcBorders>
              <w:top w:val="single" w:sz="8" w:space="0" w:color="000000"/>
              <w:bottom w:val="single" w:sz="6" w:space="0" w:color="000000"/>
            </w:tcBorders>
          </w:tcPr>
          <w:p w14:paraId="170A5080" w14:textId="77777777" w:rsidR="00D22766" w:rsidRPr="00B12452" w:rsidRDefault="00000000" w:rsidP="00861726">
            <w:pPr>
              <w:spacing w:line="360" w:lineRule="auto"/>
              <w:jc w:val="both"/>
              <w:rPr>
                <w:b/>
                <w:color w:val="000000" w:themeColor="text1"/>
                <w:sz w:val="24"/>
                <w:szCs w:val="24"/>
              </w:rPr>
            </w:pPr>
            <w:r w:rsidRPr="00B12452">
              <w:rPr>
                <w:b/>
                <w:color w:val="000000" w:themeColor="text1"/>
                <w:sz w:val="24"/>
                <w:szCs w:val="24"/>
              </w:rPr>
              <w:t>Recruitment-based restoration</w:t>
            </w:r>
          </w:p>
        </w:tc>
        <w:tc>
          <w:tcPr>
            <w:tcW w:w="1560" w:type="dxa"/>
            <w:tcBorders>
              <w:top w:val="single" w:sz="8" w:space="0" w:color="000000"/>
              <w:bottom w:val="single" w:sz="6" w:space="0" w:color="000000"/>
            </w:tcBorders>
          </w:tcPr>
          <w:p w14:paraId="01BEEE15" w14:textId="77777777" w:rsidR="00D22766" w:rsidRPr="00B12452" w:rsidRDefault="00000000" w:rsidP="00861726">
            <w:pPr>
              <w:spacing w:line="360" w:lineRule="auto"/>
              <w:jc w:val="both"/>
              <w:rPr>
                <w:b/>
                <w:color w:val="000000" w:themeColor="text1"/>
                <w:sz w:val="24"/>
                <w:szCs w:val="24"/>
              </w:rPr>
            </w:pPr>
            <w:r w:rsidRPr="00B12452">
              <w:rPr>
                <w:b/>
                <w:color w:val="000000" w:themeColor="text1"/>
                <w:sz w:val="24"/>
                <w:szCs w:val="24"/>
              </w:rPr>
              <w:t>Environmental flows / flushing</w:t>
            </w:r>
          </w:p>
        </w:tc>
        <w:tc>
          <w:tcPr>
            <w:tcW w:w="1560" w:type="dxa"/>
            <w:tcBorders>
              <w:top w:val="single" w:sz="8" w:space="0" w:color="000000"/>
              <w:bottom w:val="single" w:sz="6" w:space="0" w:color="000000"/>
            </w:tcBorders>
          </w:tcPr>
          <w:p w14:paraId="14C05C38" w14:textId="77777777" w:rsidR="00D22766" w:rsidRPr="00B12452" w:rsidRDefault="00000000" w:rsidP="00861726">
            <w:pPr>
              <w:spacing w:line="360" w:lineRule="auto"/>
              <w:jc w:val="both"/>
              <w:rPr>
                <w:b/>
                <w:color w:val="000000" w:themeColor="text1"/>
                <w:sz w:val="24"/>
                <w:szCs w:val="24"/>
              </w:rPr>
            </w:pPr>
            <w:r w:rsidRPr="00B12452">
              <w:rPr>
                <w:b/>
                <w:color w:val="000000" w:themeColor="text1"/>
                <w:sz w:val="24"/>
                <w:szCs w:val="24"/>
              </w:rPr>
              <w:t>Accommodation-space zoning</w:t>
            </w:r>
          </w:p>
        </w:tc>
        <w:tc>
          <w:tcPr>
            <w:tcW w:w="1560" w:type="dxa"/>
            <w:tcBorders>
              <w:top w:val="single" w:sz="8" w:space="0" w:color="000000"/>
              <w:bottom w:val="single" w:sz="6" w:space="0" w:color="000000"/>
            </w:tcBorders>
          </w:tcPr>
          <w:p w14:paraId="329E99DA" w14:textId="77777777" w:rsidR="00D22766" w:rsidRPr="00B12452" w:rsidRDefault="00000000" w:rsidP="00861726">
            <w:pPr>
              <w:spacing w:line="360" w:lineRule="auto"/>
              <w:jc w:val="both"/>
              <w:rPr>
                <w:b/>
                <w:color w:val="000000" w:themeColor="text1"/>
                <w:sz w:val="24"/>
                <w:szCs w:val="24"/>
              </w:rPr>
            </w:pPr>
            <w:r w:rsidRPr="00B12452">
              <w:rPr>
                <w:b/>
                <w:color w:val="000000" w:themeColor="text1"/>
                <w:sz w:val="24"/>
                <w:szCs w:val="24"/>
              </w:rPr>
              <w:t>Groundwater / drainage governance</w:t>
            </w:r>
          </w:p>
        </w:tc>
        <w:tc>
          <w:tcPr>
            <w:tcW w:w="1560" w:type="dxa"/>
            <w:tcBorders>
              <w:top w:val="single" w:sz="8" w:space="0" w:color="000000"/>
              <w:bottom w:val="single" w:sz="6" w:space="0" w:color="000000"/>
            </w:tcBorders>
          </w:tcPr>
          <w:p w14:paraId="098111F2" w14:textId="77777777" w:rsidR="00D22766" w:rsidRPr="00B12452" w:rsidRDefault="00000000" w:rsidP="00861726">
            <w:pPr>
              <w:spacing w:line="360" w:lineRule="auto"/>
              <w:jc w:val="both"/>
              <w:rPr>
                <w:b/>
                <w:color w:val="000000" w:themeColor="text1"/>
                <w:sz w:val="24"/>
                <w:szCs w:val="24"/>
              </w:rPr>
            </w:pPr>
            <w:r w:rsidRPr="00B12452">
              <w:rPr>
                <w:b/>
                <w:color w:val="000000" w:themeColor="text1"/>
                <w:sz w:val="24"/>
                <w:szCs w:val="24"/>
              </w:rPr>
              <w:t>Driver total²</w:t>
            </w:r>
          </w:p>
        </w:tc>
      </w:tr>
      <w:tr w:rsidR="00D22766" w:rsidRPr="00B12452" w14:paraId="3323C9EC" w14:textId="77777777">
        <w:tc>
          <w:tcPr>
            <w:tcW w:w="1560" w:type="dxa"/>
          </w:tcPr>
          <w:p w14:paraId="306CF6C0"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FSS / inland salinization</w:t>
            </w:r>
          </w:p>
        </w:tc>
        <w:tc>
          <w:tcPr>
            <w:tcW w:w="1560" w:type="dxa"/>
          </w:tcPr>
          <w:p w14:paraId="5F42EFE0"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40</w:t>
            </w:r>
          </w:p>
        </w:tc>
        <w:tc>
          <w:tcPr>
            <w:tcW w:w="1560" w:type="dxa"/>
          </w:tcPr>
          <w:p w14:paraId="25F95332"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w:t>
            </w:r>
          </w:p>
        </w:tc>
        <w:tc>
          <w:tcPr>
            <w:tcW w:w="1560" w:type="dxa"/>
          </w:tcPr>
          <w:p w14:paraId="68F97170"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4</w:t>
            </w:r>
          </w:p>
        </w:tc>
        <w:tc>
          <w:tcPr>
            <w:tcW w:w="1560" w:type="dxa"/>
          </w:tcPr>
          <w:p w14:paraId="4481D271"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32</w:t>
            </w:r>
          </w:p>
        </w:tc>
        <w:tc>
          <w:tcPr>
            <w:tcW w:w="1560" w:type="dxa"/>
          </w:tcPr>
          <w:p w14:paraId="43732373"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132</w:t>
            </w:r>
          </w:p>
        </w:tc>
      </w:tr>
      <w:tr w:rsidR="00D22766" w:rsidRPr="00B12452" w14:paraId="2D713EA8" w14:textId="77777777">
        <w:tc>
          <w:tcPr>
            <w:tcW w:w="1560" w:type="dxa"/>
          </w:tcPr>
          <w:p w14:paraId="7F061FB9"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Saltwater intrusion</w:t>
            </w:r>
          </w:p>
        </w:tc>
        <w:tc>
          <w:tcPr>
            <w:tcW w:w="1560" w:type="dxa"/>
          </w:tcPr>
          <w:p w14:paraId="28FBF6DE"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21</w:t>
            </w:r>
          </w:p>
        </w:tc>
        <w:tc>
          <w:tcPr>
            <w:tcW w:w="1560" w:type="dxa"/>
          </w:tcPr>
          <w:p w14:paraId="653A6376"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w:t>
            </w:r>
          </w:p>
        </w:tc>
        <w:tc>
          <w:tcPr>
            <w:tcW w:w="1560" w:type="dxa"/>
          </w:tcPr>
          <w:p w14:paraId="0C068448"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w:t>
            </w:r>
          </w:p>
        </w:tc>
        <w:tc>
          <w:tcPr>
            <w:tcW w:w="1560" w:type="dxa"/>
          </w:tcPr>
          <w:p w14:paraId="710D6C89"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23</w:t>
            </w:r>
          </w:p>
        </w:tc>
        <w:tc>
          <w:tcPr>
            <w:tcW w:w="1560" w:type="dxa"/>
          </w:tcPr>
          <w:p w14:paraId="2B09AE52"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101</w:t>
            </w:r>
          </w:p>
        </w:tc>
      </w:tr>
      <w:tr w:rsidR="00D22766" w:rsidRPr="00B12452" w14:paraId="20FAE1AB" w14:textId="77777777">
        <w:tc>
          <w:tcPr>
            <w:tcW w:w="1560" w:type="dxa"/>
          </w:tcPr>
          <w:p w14:paraId="6C7D75B7"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Coastal squeeze / SLR</w:t>
            </w:r>
          </w:p>
        </w:tc>
        <w:tc>
          <w:tcPr>
            <w:tcW w:w="1560" w:type="dxa"/>
          </w:tcPr>
          <w:p w14:paraId="2419E0A6"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24</w:t>
            </w:r>
          </w:p>
        </w:tc>
        <w:tc>
          <w:tcPr>
            <w:tcW w:w="1560" w:type="dxa"/>
          </w:tcPr>
          <w:p w14:paraId="0FCBFAD4"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4</w:t>
            </w:r>
          </w:p>
        </w:tc>
        <w:tc>
          <w:tcPr>
            <w:tcW w:w="1560" w:type="dxa"/>
          </w:tcPr>
          <w:p w14:paraId="1F62452C"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w:t>
            </w:r>
          </w:p>
        </w:tc>
        <w:tc>
          <w:tcPr>
            <w:tcW w:w="1560" w:type="dxa"/>
          </w:tcPr>
          <w:p w14:paraId="18047EA1"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18</w:t>
            </w:r>
          </w:p>
        </w:tc>
        <w:tc>
          <w:tcPr>
            <w:tcW w:w="1560" w:type="dxa"/>
          </w:tcPr>
          <w:p w14:paraId="7F7AB190"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121</w:t>
            </w:r>
          </w:p>
        </w:tc>
      </w:tr>
      <w:tr w:rsidR="00D22766" w:rsidRPr="00B12452" w14:paraId="4DDD5704" w14:textId="77777777">
        <w:tc>
          <w:tcPr>
            <w:tcW w:w="1560" w:type="dxa"/>
          </w:tcPr>
          <w:p w14:paraId="53B01671"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Forested-wetland decline</w:t>
            </w:r>
          </w:p>
        </w:tc>
        <w:tc>
          <w:tcPr>
            <w:tcW w:w="1560" w:type="dxa"/>
          </w:tcPr>
          <w:p w14:paraId="2559C52B"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18</w:t>
            </w:r>
          </w:p>
        </w:tc>
        <w:tc>
          <w:tcPr>
            <w:tcW w:w="1560" w:type="dxa"/>
          </w:tcPr>
          <w:p w14:paraId="7FEDCD79"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0</w:t>
            </w:r>
          </w:p>
        </w:tc>
        <w:tc>
          <w:tcPr>
            <w:tcW w:w="1560" w:type="dxa"/>
          </w:tcPr>
          <w:p w14:paraId="60F08667"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w:t>
            </w:r>
          </w:p>
        </w:tc>
        <w:tc>
          <w:tcPr>
            <w:tcW w:w="1560" w:type="dxa"/>
          </w:tcPr>
          <w:p w14:paraId="0661098B"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5</w:t>
            </w:r>
          </w:p>
        </w:tc>
        <w:tc>
          <w:tcPr>
            <w:tcW w:w="1560" w:type="dxa"/>
          </w:tcPr>
          <w:p w14:paraId="53B7D118"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35</w:t>
            </w:r>
          </w:p>
        </w:tc>
      </w:tr>
      <w:tr w:rsidR="00D22766" w:rsidRPr="00B12452" w14:paraId="4F1B23E7" w14:textId="77777777">
        <w:tc>
          <w:tcPr>
            <w:tcW w:w="1560" w:type="dxa"/>
            <w:tcBorders>
              <w:bottom w:val="single" w:sz="8" w:space="0" w:color="000000"/>
            </w:tcBorders>
          </w:tcPr>
          <w:p w14:paraId="3F60115D"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Instrument total²</w:t>
            </w:r>
          </w:p>
        </w:tc>
        <w:tc>
          <w:tcPr>
            <w:tcW w:w="1560" w:type="dxa"/>
            <w:tcBorders>
              <w:bottom w:val="single" w:sz="8" w:space="0" w:color="000000"/>
            </w:tcBorders>
          </w:tcPr>
          <w:p w14:paraId="6386FF9D"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227</w:t>
            </w:r>
          </w:p>
        </w:tc>
        <w:tc>
          <w:tcPr>
            <w:tcW w:w="1560" w:type="dxa"/>
            <w:tcBorders>
              <w:bottom w:val="single" w:sz="8" w:space="0" w:color="000000"/>
            </w:tcBorders>
          </w:tcPr>
          <w:p w14:paraId="4D091A47"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23</w:t>
            </w:r>
          </w:p>
        </w:tc>
        <w:tc>
          <w:tcPr>
            <w:tcW w:w="1560" w:type="dxa"/>
            <w:tcBorders>
              <w:bottom w:val="single" w:sz="8" w:space="0" w:color="000000"/>
            </w:tcBorders>
          </w:tcPr>
          <w:p w14:paraId="7141F360"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24</w:t>
            </w:r>
          </w:p>
        </w:tc>
        <w:tc>
          <w:tcPr>
            <w:tcW w:w="1560" w:type="dxa"/>
            <w:tcBorders>
              <w:bottom w:val="single" w:sz="8" w:space="0" w:color="000000"/>
            </w:tcBorders>
          </w:tcPr>
          <w:p w14:paraId="0A22A510"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161</w:t>
            </w:r>
          </w:p>
        </w:tc>
        <w:tc>
          <w:tcPr>
            <w:tcW w:w="1560" w:type="dxa"/>
            <w:tcBorders>
              <w:bottom w:val="single" w:sz="8" w:space="0" w:color="000000"/>
            </w:tcBorders>
          </w:tcPr>
          <w:p w14:paraId="6E22FB9A" w14:textId="77777777" w:rsidR="00D22766" w:rsidRPr="00B12452" w:rsidRDefault="00000000" w:rsidP="00861726">
            <w:pPr>
              <w:spacing w:line="360" w:lineRule="auto"/>
              <w:jc w:val="both"/>
              <w:rPr>
                <w:bCs/>
                <w:color w:val="000000" w:themeColor="text1"/>
                <w:sz w:val="24"/>
                <w:szCs w:val="24"/>
              </w:rPr>
            </w:pPr>
            <w:r w:rsidRPr="00B12452">
              <w:rPr>
                <w:bCs/>
                <w:color w:val="000000" w:themeColor="text1"/>
                <w:sz w:val="24"/>
                <w:szCs w:val="24"/>
              </w:rPr>
              <w:t>—</w:t>
            </w:r>
          </w:p>
        </w:tc>
      </w:tr>
    </w:tbl>
    <w:p w14:paraId="5F3D308E" w14:textId="77777777" w:rsidR="00D22766" w:rsidRPr="00861726" w:rsidRDefault="00000000" w:rsidP="00861726">
      <w:pPr>
        <w:spacing w:line="360" w:lineRule="auto"/>
        <w:jc w:val="both"/>
        <w:rPr>
          <w:color w:val="000000" w:themeColor="text1"/>
          <w:sz w:val="24"/>
          <w:szCs w:val="24"/>
        </w:rPr>
      </w:pPr>
      <w:r w:rsidRPr="00861726">
        <w:rPr>
          <w:i/>
          <w:color w:val="000000" w:themeColor="text1"/>
          <w:sz w:val="24"/>
          <w:szCs w:val="24"/>
        </w:rPr>
        <w:t>² Cell = records co-mentioning that driver and instrument. Row/column totals are records mentioning the driver (or instrument) at all and are not the sum of the cells, because a record may match several term sets. Cells ≤4 (environmental flows; accommodation-space zoning) are highlighted in Fig. 4B as priority research gaps.</w:t>
      </w:r>
    </w:p>
    <w:p w14:paraId="497C970B" w14:textId="77777777" w:rsidR="00D22766" w:rsidRPr="00861726" w:rsidRDefault="00000000" w:rsidP="00861726">
      <w:pPr>
        <w:spacing w:line="360" w:lineRule="auto"/>
        <w:jc w:val="both"/>
        <w:rPr>
          <w:color w:val="000000" w:themeColor="text1"/>
          <w:sz w:val="24"/>
          <w:szCs w:val="24"/>
        </w:rPr>
      </w:pPr>
      <w:r w:rsidRPr="00861726">
        <w:rPr>
          <w:b/>
          <w:color w:val="000000" w:themeColor="text1"/>
          <w:sz w:val="24"/>
          <w:szCs w:val="24"/>
        </w:rPr>
        <w:t>S6.4 Sensitivity</w:t>
      </w:r>
    </w:p>
    <w:p w14:paraId="4BBB6A92" w14:textId="77777777" w:rsidR="00D22766" w:rsidRPr="00861726" w:rsidRDefault="00000000" w:rsidP="00861726">
      <w:pPr>
        <w:spacing w:line="360" w:lineRule="auto"/>
        <w:jc w:val="both"/>
        <w:rPr>
          <w:color w:val="000000" w:themeColor="text1"/>
          <w:sz w:val="24"/>
          <w:szCs w:val="24"/>
        </w:rPr>
      </w:pPr>
      <w:r w:rsidRPr="00861726">
        <w:rPr>
          <w:color w:val="000000" w:themeColor="text1"/>
          <w:sz w:val="24"/>
          <w:szCs w:val="24"/>
        </w:rPr>
        <w:t>Both findings are qualitative in nature and robust to reasonable lexicon variation. Broadening or narrowing the planning lexicon by individual terms shifts the engaged share by a few percentage points but does not change the two conclusions: the planning-engaged share does not increase across periods despite roughly seven-fold growth in output, and environmental-flow management and accommodation-space zoning remain the least-represented instruments across all four drivers.</w:t>
      </w:r>
    </w:p>
    <w:p>
      <w:r>
        <w:br w:type="page"/>
      </w:r>
    </w:p>
    <w:p>
      <w:pPr>
        <w:pStyle w:val="Heading1"/>
      </w:pPr>
      <w:r>
        <w:t>Appendix S7. Supplementary figures</w:t>
      </w:r>
    </w:p>
    <w:p>
      <w:r>
        <w:t>The four figures below support analyses reported in the main text but are not required to follow its argument. Figures S1 and S2 document the productivity and topic structure of the corpus; Figures S3 and S4 document the climate forcing and land-cover context of the empirical study. All are reproduced at the same resolution as the main-text figures.</w:t>
      </w:r>
    </w:p>
    <w:p/>
    <w:p>
      <w:pPr>
        <w:jc w:val="center"/>
      </w:pPr>
      <w:r>
        <w:drawing>
          <wp:inline xmlns:a="http://schemas.openxmlformats.org/drawingml/2006/main" xmlns:pic="http://schemas.openxmlformats.org/drawingml/2006/picture">
            <wp:extent cx="5760720" cy="2111707"/>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5760720" cy="2111707"/>
                    </a:xfrm>
                    <a:prstGeom prst="rect"/>
                  </pic:spPr>
                </pic:pic>
              </a:graphicData>
            </a:graphic>
          </wp:inline>
        </w:drawing>
      </w:r>
    </w:p>
    <w:p>
      <w:r>
        <w:rPr>
          <w:sz w:val="18"/>
        </w:rPr>
        <w:t>Fig. S1. Productivity structure of the field. (A) Bradford’s law of source scatter (three zones, each 1/3 of output; 23 core journals make up Zone 1). (B) Most productive sources; (C) Most productive countries according to the number of author affiliations.</w:t>
      </w:r>
    </w:p>
    <w:p/>
    <w:p>
      <w:pPr>
        <w:jc w:val="center"/>
      </w:pPr>
      <w:r>
        <w:drawing>
          <wp:inline xmlns:a="http://schemas.openxmlformats.org/drawingml/2006/main" xmlns:pic="http://schemas.openxmlformats.org/drawingml/2006/picture">
            <wp:extent cx="5760720" cy="2345028"/>
            <wp:docPr id="2" name="Picture 2"/>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5760720" cy="2345028"/>
                    </a:xfrm>
                    <a:prstGeom prst="rect"/>
                  </pic:spPr>
                </pic:pic>
              </a:graphicData>
            </a:graphic>
          </wp:inline>
        </w:drawing>
      </w:r>
    </w:p>
    <w:p>
      <w:r>
        <w:rPr>
          <w:sz w:val="18"/>
        </w:rPr>
        <w:t>Fig. S2. Latent topic structure and research fronts from LDA (k = 4). (A) The four research fronts, ranked by the number of documents for which each topic is dominant (259, 212, 173 and 131 documents; 775 in total). (B) The eight leading terms defining each front, shown in order of topic probability. Topic labels are interpretive; model-selection diagnostics (perplexity and UMass coherence over k) appear in Table 6a and the full leading-term lists and counts in Table 6b.</w:t>
      </w:r>
    </w:p>
    <w:p/>
    <w:p>
      <w:pPr>
        <w:jc w:val="center"/>
      </w:pPr>
      <w:r>
        <w:drawing>
          <wp:inline xmlns:a="http://schemas.openxmlformats.org/drawingml/2006/main" xmlns:pic="http://schemas.openxmlformats.org/drawingml/2006/picture">
            <wp:extent cx="5760720" cy="2054355"/>
            <wp:docPr id="3" name="Picture 3"/>
            <wp:cNvGraphicFramePr>
              <a:graphicFrameLocks noChangeAspect="1"/>
            </wp:cNvGraphicFramePr>
            <a:graphic>
              <a:graphicData uri="http://schemas.openxmlformats.org/drawingml/2006/picture">
                <pic:pic>
                  <pic:nvPicPr>
                    <pic:cNvPr id="0" name="Figure_S3.png"/>
                    <pic:cNvPicPr/>
                  </pic:nvPicPr>
                  <pic:blipFill>
                    <a:blip r:embed="rId14"/>
                    <a:stretch>
                      <a:fillRect/>
                    </a:stretch>
                  </pic:blipFill>
                  <pic:spPr>
                    <a:xfrm>
                      <a:off x="0" y="0"/>
                      <a:ext cx="5760720" cy="2054355"/>
                    </a:xfrm>
                    <a:prstGeom prst="rect"/>
                  </pic:spPr>
                </pic:pic>
              </a:graphicData>
            </a:graphic>
          </wp:inline>
        </w:drawing>
      </w:r>
    </w:p>
    <w:p>
      <w:r>
        <w:rPr>
          <w:sz w:val="18"/>
        </w:rPr>
        <w:t>Fig. S3. Climate forcing, 1994–2025. (a) Annual precipitation and (b) mean annual air temperature from ERA5 reanalysis. Dashed lines are Theil–Sen slopes, drawn black where the Mann–Kendall test is significant at α = 0.05 and grey and labelled n.s. otherwise. The dotted line in (b) marks the Pettitt change point.</w:t>
      </w:r>
    </w:p>
    <w:p/>
    <w:p>
      <w:pPr>
        <w:jc w:val="center"/>
      </w:pPr>
      <w:r>
        <w:drawing>
          <wp:inline xmlns:a="http://schemas.openxmlformats.org/drawingml/2006/main" xmlns:pic="http://schemas.openxmlformats.org/drawingml/2006/picture">
            <wp:extent cx="5760720" cy="1744144"/>
            <wp:docPr id="4" name="Picture 4"/>
            <wp:cNvGraphicFramePr>
              <a:graphicFrameLocks noChangeAspect="1"/>
            </wp:cNvGraphicFramePr>
            <a:graphic>
              <a:graphicData uri="http://schemas.openxmlformats.org/drawingml/2006/picture">
                <pic:pic>
                  <pic:nvPicPr>
                    <pic:cNvPr id="0" name="Figure_S4.png"/>
                    <pic:cNvPicPr/>
                  </pic:nvPicPr>
                  <pic:blipFill>
                    <a:blip r:embed="rId15"/>
                    <a:stretch>
                      <a:fillRect/>
                    </a:stretch>
                  </pic:blipFill>
                  <pic:spPr>
                    <a:xfrm>
                      <a:off x="0" y="0"/>
                      <a:ext cx="5760720" cy="1744144"/>
                    </a:xfrm>
                    <a:prstGeom prst="rect"/>
                  </pic:spPr>
                </pic:pic>
              </a:graphicData>
            </a:graphic>
          </wp:inline>
        </w:drawing>
      </w:r>
    </w:p>
    <w:p>
      <w:r>
        <w:rPr>
          <w:sz w:val="18"/>
        </w:rPr>
        <w:t>Fig. S4. Land cover, 2016–2024. (a) Annual composition of the classified area; no class shows a statistically significant trend over this nine-year window, so conversion totals rather than annual slopes are reported. (b) Conversion between 2016 and 2024, showing directional exchange from vegetation to water.</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426C" w14:textId="77777777" w:rsidR="007F16D7" w:rsidRDefault="007F16D7">
      <w:r>
        <w:separator/>
      </w:r>
    </w:p>
  </w:endnote>
  <w:endnote w:type="continuationSeparator" w:id="0">
    <w:p w14:paraId="4701B00B" w14:textId="77777777" w:rsidR="007F16D7" w:rsidRDefault="007F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C8B8" w14:textId="77777777" w:rsidR="00D4308B" w:rsidRDefault="00000000">
    <w:pPr>
      <w:jc w:val="center"/>
    </w:pPr>
    <w:r>
      <w:rPr>
        <w:color w:val="777777"/>
        <w:sz w:val="18"/>
        <w:szCs w:val="18"/>
      </w:rPr>
      <w:fldChar w:fldCharType="begin"/>
    </w:r>
    <w:r>
      <w:rPr>
        <w:color w:val="777777"/>
        <w:sz w:val="18"/>
        <w:szCs w:val="18"/>
      </w:rPr>
      <w:instrText>PAGE</w:instrText>
    </w:r>
    <w:r>
      <w:rPr>
        <w:color w:val="777777"/>
        <w:sz w:val="18"/>
        <w:szCs w:val="18"/>
      </w:rPr>
      <w:fldChar w:fldCharType="separate"/>
    </w:r>
    <w:r w:rsidR="0072055E">
      <w:rPr>
        <w:noProof/>
        <w:color w:val="777777"/>
        <w:sz w:val="18"/>
        <w:szCs w:val="18"/>
      </w:rPr>
      <w:t>1</w:t>
    </w:r>
    <w:r>
      <w:rPr>
        <w:color w:val="777777"/>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EC8C" w14:textId="77777777" w:rsidR="007F16D7" w:rsidRDefault="007F16D7">
      <w:r>
        <w:separator/>
      </w:r>
    </w:p>
  </w:footnote>
  <w:footnote w:type="continuationSeparator" w:id="0">
    <w:p w14:paraId="2C3A29A7" w14:textId="77777777" w:rsidR="007F16D7" w:rsidRDefault="007F1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70E89"/>
    <w:multiLevelType w:val="hybridMultilevel"/>
    <w:tmpl w:val="2D4AEE1E"/>
    <w:lvl w:ilvl="0" w:tplc="AB5800A6">
      <w:start w:val="1"/>
      <w:numFmt w:val="bullet"/>
      <w:lvlText w:val="●"/>
      <w:lvlJc w:val="left"/>
      <w:pPr>
        <w:ind w:left="720" w:hanging="360"/>
      </w:pPr>
    </w:lvl>
    <w:lvl w:ilvl="1" w:tplc="54583114">
      <w:start w:val="1"/>
      <w:numFmt w:val="bullet"/>
      <w:lvlText w:val="○"/>
      <w:lvlJc w:val="left"/>
      <w:pPr>
        <w:ind w:left="1440" w:hanging="360"/>
      </w:pPr>
    </w:lvl>
    <w:lvl w:ilvl="2" w:tplc="24DC6DE0">
      <w:start w:val="1"/>
      <w:numFmt w:val="bullet"/>
      <w:lvlText w:val="■"/>
      <w:lvlJc w:val="left"/>
      <w:pPr>
        <w:ind w:left="2160" w:hanging="360"/>
      </w:pPr>
    </w:lvl>
    <w:lvl w:ilvl="3" w:tplc="BEFC70CE">
      <w:start w:val="1"/>
      <w:numFmt w:val="bullet"/>
      <w:lvlText w:val="●"/>
      <w:lvlJc w:val="left"/>
      <w:pPr>
        <w:ind w:left="2880" w:hanging="360"/>
      </w:pPr>
    </w:lvl>
    <w:lvl w:ilvl="4" w:tplc="2ABCDE72">
      <w:start w:val="1"/>
      <w:numFmt w:val="bullet"/>
      <w:lvlText w:val="○"/>
      <w:lvlJc w:val="left"/>
      <w:pPr>
        <w:ind w:left="3600" w:hanging="360"/>
      </w:pPr>
    </w:lvl>
    <w:lvl w:ilvl="5" w:tplc="3B66059A">
      <w:start w:val="1"/>
      <w:numFmt w:val="bullet"/>
      <w:lvlText w:val="■"/>
      <w:lvlJc w:val="left"/>
      <w:pPr>
        <w:ind w:left="4320" w:hanging="360"/>
      </w:pPr>
    </w:lvl>
    <w:lvl w:ilvl="6" w:tplc="3F5AE8F6">
      <w:start w:val="1"/>
      <w:numFmt w:val="bullet"/>
      <w:lvlText w:val="●"/>
      <w:lvlJc w:val="left"/>
      <w:pPr>
        <w:ind w:left="5040" w:hanging="360"/>
      </w:pPr>
    </w:lvl>
    <w:lvl w:ilvl="7" w:tplc="DB54C3A8">
      <w:start w:val="1"/>
      <w:numFmt w:val="bullet"/>
      <w:lvlText w:val="●"/>
      <w:lvlJc w:val="left"/>
      <w:pPr>
        <w:ind w:left="5760" w:hanging="360"/>
      </w:pPr>
    </w:lvl>
    <w:lvl w:ilvl="8" w:tplc="B76E8A42">
      <w:start w:val="1"/>
      <w:numFmt w:val="bullet"/>
      <w:lvlText w:val="●"/>
      <w:lvlJc w:val="left"/>
      <w:pPr>
        <w:ind w:left="6480" w:hanging="360"/>
      </w:pPr>
    </w:lvl>
  </w:abstractNum>
  <w:num w:numId="1" w16cid:durableId="19632630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08B"/>
    <w:rsid w:val="0004713B"/>
    <w:rsid w:val="00307F6B"/>
    <w:rsid w:val="005B0E94"/>
    <w:rsid w:val="005E03CD"/>
    <w:rsid w:val="00611B1A"/>
    <w:rsid w:val="0072055E"/>
    <w:rsid w:val="00731E2C"/>
    <w:rsid w:val="007D759B"/>
    <w:rsid w:val="007F16D7"/>
    <w:rsid w:val="00861726"/>
    <w:rsid w:val="00B12452"/>
    <w:rsid w:val="00B157ED"/>
    <w:rsid w:val="00C06176"/>
    <w:rsid w:val="00C9038F"/>
    <w:rsid w:val="00D22766"/>
    <w:rsid w:val="00D355DA"/>
    <w:rsid w:val="00D4308B"/>
    <w:rsid w:val="00E21AD9"/>
    <w:rsid w:val="00EB476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2F2F"/>
  <w15:docId w15:val="{2CC3D620-ADB7-4A4B-84C8-36FC68E6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3A5F"/>
      <w:sz w:val="25"/>
      <w:szCs w:val="25"/>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1879</Words>
  <Characters>10714</Characters>
  <Application>Microsoft Office Word</Application>
  <DocSecurity>0</DocSecurity>
  <Lines>89</Lines>
  <Paragraphs>25</Paragraphs>
  <ScaleCrop>false</ScaleCrop>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(revised)</dc:title>
  <dc:creator>Revised per peer review</dc:creator>
  <cp:lastModifiedBy>Moushila De</cp:lastModifiedBy>
  <cp:revision>10</cp:revision>
  <dcterms:created xsi:type="dcterms:W3CDTF">2026-06-20T18:59:00Z</dcterms:created>
  <dcterms:modified xsi:type="dcterms:W3CDTF">2026-07-02T06:59:00Z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c97ea138-785e-4dbb-b5ad-f8e81896369f</vt:lpwstr>
  </property>
</Properties>
</file>