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line="276"/>
      </w:pPr>
      <w:r>
        <w:rPr>
          <w:rFonts w:ascii="Arial" w:cs="Arial" w:eastAsia="Arial" w:hAnsi="Arial"/>
          <w:b/>
          <w:bCs/>
          <w:sz w:val="28"/>
          <w:szCs w:val="28"/>
        </w:rPr>
        <w:t xml:space="preserve">Supplementary Information</w:t>
      </w:r>
    </w:p>
    <w:p>
      <w:pPr>
        <w:spacing w:after="60" w:line="276"/>
      </w:pPr>
      <w:r>
        <w:rPr>
          <w:rFonts w:ascii="Arial" w:cs="Arial" w:eastAsia="Arial" w:hAnsi="Arial"/>
          <w:sz w:val="21"/>
          <w:szCs w:val="21"/>
        </w:rPr>
        <w:t xml:space="preserve">Heterozygous </w:t>
      </w:r>
      <w:r>
        <w:rPr>
          <w:rFonts w:ascii="Arial" w:cs="Arial" w:eastAsia="Arial" w:hAnsi="Arial"/>
          <w:i/>
          <w:iCs/>
          <w:sz w:val="21"/>
          <w:szCs w:val="21"/>
        </w:rPr>
        <w:t xml:space="preserve">HMGB1</w:t>
      </w:r>
      <w:r>
        <w:rPr>
          <w:rFonts w:ascii="Arial" w:cs="Arial" w:eastAsia="Arial" w:hAnsi="Arial"/>
          <w:sz w:val="21"/>
          <w:szCs w:val="21"/>
        </w:rPr>
        <w:t xml:space="preserve"> variants and neurodevelopmental disorder: phenotypic and allelic spectrum</w:t>
      </w:r>
    </w:p>
    <w:p>
      <w:pPr>
        <w:spacing w:after="60" w:line="276"/>
      </w:pPr>
      <w:r>
        <w:rPr>
          <w:rFonts w:ascii="Arial" w:cs="Arial" w:eastAsia="Arial" w:hAnsi="Arial"/>
          <w:i/>
          <w:iCs/>
          <w:sz w:val="21"/>
          <w:szCs w:val="21"/>
        </w:rPr>
        <w:t xml:space="preserve">European Journal of Human Genetics</w:t>
      </w:r>
    </w:p>
    <w:p>
      <w:pPr>
        <w:spacing w:after="60" w:line="276"/>
      </w:pPr>
      <w:r>
        <w:rPr>
          <w:rFonts w:ascii="Arial" w:cs="Arial" w:eastAsia="Arial" w:hAnsi="Arial"/>
          <w:sz w:val="21"/>
          <w:szCs w:val="21"/>
        </w:rPr>
        <w:t xml:space="preserve">Goel H, et al.</w:t>
      </w:r>
    </w:p>
    <w:p>
      <w:pPr>
        <w:spacing w:after="240" w:line="276"/>
      </w:pPr>
      <w:r>
        <w:rPr>
          <w:rFonts w:ascii="Arial" w:cs="Arial" w:eastAsia="Arial" w:hAnsi="Arial"/>
          <w:color w:val="444444"/>
          <w:sz w:val="19"/>
          <w:szCs w:val="19"/>
        </w:rPr>
        <w:t xml:space="preserve">Corresponding author: Himanshu Goel, Hunter Genetics, PO Box 84, Waratah NSW 2298, Australia. himanshu.goel@health.nsw.gov.au</w:t>
      </w:r>
    </w:p>
    <w:p>
      <w:pPr>
        <w:spacing w:after="120" w:before="240"/>
      </w:pPr>
      <w:r>
        <w:rPr>
          <w:rFonts w:ascii="Arial" w:cs="Arial" w:eastAsia="Arial" w:hAnsi="Arial"/>
          <w:b/>
          <w:bCs/>
          <w:sz w:val="24"/>
          <w:szCs w:val="24"/>
        </w:rPr>
        <w:t xml:space="preserve">Contents</w:t>
      </w:r>
    </w:p>
    <w:p>
      <w:pPr>
        <w:spacing w:after="40" w:line="276"/>
      </w:pPr>
      <w:r>
        <w:rPr>
          <w:rFonts w:ascii="Arial" w:cs="Arial" w:eastAsia="Arial" w:hAnsi="Arial"/>
          <w:sz w:val="21"/>
          <w:szCs w:val="21"/>
        </w:rPr>
        <w:t xml:space="preserve">Supplementary Methods: facial gestalt and similarity analysis</w:t>
      </w:r>
    </w:p>
    <w:p>
      <w:pPr>
        <w:spacing w:after="40" w:line="276"/>
      </w:pPr>
      <w:r>
        <w:rPr>
          <w:rFonts w:ascii="Arial" w:cs="Arial" w:eastAsia="Arial" w:hAnsi="Arial"/>
          <w:sz w:val="21"/>
          <w:szCs w:val="21"/>
        </w:rPr>
        <w:t xml:space="preserve">Supplementary Table S1. Complete phenotype matrix (separate file, Excel)</w:t>
      </w:r>
    </w:p>
    <w:p>
      <w:pPr>
        <w:spacing w:after="40" w:line="276"/>
      </w:pPr>
      <w:r>
        <w:rPr>
          <w:rFonts w:ascii="Arial" w:cs="Arial" w:eastAsia="Arial" w:hAnsi="Arial"/>
          <w:sz w:val="21"/>
          <w:szCs w:val="21"/>
        </w:rPr>
        <w:t xml:space="preserve">Supplementary Table S2. Variant-level annotation (separate file, Excel)</w:t>
      </w:r>
    </w:p>
    <w:p>
      <w:pPr>
        <w:spacing w:after="240" w:line="276"/>
      </w:pPr>
      <w:r>
        <w:rPr>
          <w:rFonts w:ascii="Arial" w:cs="Arial" w:eastAsia="Arial" w:hAnsi="Arial"/>
          <w:sz w:val="21"/>
          <w:szCs w:val="21"/>
        </w:rPr>
        <w:t xml:space="preserve">Supplementary Table S3. GestaltMatcher pairwise gallery ranks (separate file, Excel)</w:t>
      </w:r>
    </w:p>
    <w:p>
      <w:pPr>
        <w:spacing w:after="120" w:before="240"/>
      </w:pPr>
      <w:r>
        <w:rPr>
          <w:rFonts w:ascii="Arial" w:cs="Arial" w:eastAsia="Arial" w:hAnsi="Arial"/>
          <w:b/>
          <w:bCs/>
          <w:sz w:val="24"/>
          <w:szCs w:val="24"/>
        </w:rPr>
        <w:t xml:space="preserve">Supplementary Methods</w:t>
      </w:r>
    </w:p>
    <w:p>
      <w:pPr>
        <w:spacing w:after="80" w:line="276"/>
      </w:pPr>
      <w:r>
        <w:rPr>
          <w:rFonts w:ascii="Arial" w:cs="Arial" w:eastAsia="Arial" w:hAnsi="Arial"/>
          <w:b/>
          <w:bCs/>
          <w:sz w:val="21"/>
          <w:szCs w:val="21"/>
        </w:rPr>
        <w:t xml:space="preserve">Facial gestalt and similarity analysis</w:t>
      </w:r>
    </w:p>
    <w:p>
      <w:pPr>
        <w:spacing w:after="120" w:line="276"/>
      </w:pPr>
      <w:r>
        <w:rPr>
          <w:rFonts w:ascii="Arial" w:cs="Arial" w:eastAsia="Arial" w:hAnsi="Arial"/>
          <w:sz w:val="21"/>
          <w:szCs w:val="21"/>
        </w:rPr>
        <w:t xml:space="preserve">Facial images were available for seven individuals from Families 1 to 6 and 10, comprising eight images in total; the two images of the Family 6 proband were taken at 5 and 9 years and represent the same individual. Images were included only where specific consent for publication and for analysis had been obtained.</w:t>
      </w:r>
    </w:p>
    <w:p>
      <w:pPr>
        <w:spacing w:after="120" w:line="276"/>
      </w:pPr>
      <w:r>
        <w:rPr>
          <w:rFonts w:ascii="Arial" w:cs="Arial" w:eastAsia="Arial" w:hAnsi="Arial"/>
          <w:sz w:val="21"/>
          <w:szCs w:val="21"/>
        </w:rPr>
        <w:t xml:space="preserve">GestaltMatcher generated Facial Phenotype Descriptors for each image using a model ensemble with test-time augmentation. Similarity between images was quantified as the pairwise distance in the Clinical Face Phenotype Space, where smaller distances indicate greater similarity. For interpretability, distances were converted to a Gestalt Score, defined as 1.3 minus the mean pairwise distance, so that higher scores indicate greater similarity.</w:t>
      </w:r>
    </w:p>
    <w:p>
      <w:pPr>
        <w:spacing w:after="120" w:line="276"/>
      </w:pPr>
      <w:r>
        <w:rPr>
          <w:rFonts w:ascii="Arial" w:cs="Arial" w:eastAsia="Arial" w:hAnsi="Arial"/>
          <w:sz w:val="21"/>
          <w:szCs w:val="21"/>
        </w:rPr>
        <w:t xml:space="preserve">To construct the </w:t>
      </w:r>
      <w:r>
        <w:rPr>
          <w:rFonts w:ascii="Arial" w:cs="Arial" w:eastAsia="Arial" w:hAnsi="Arial"/>
          <w:i/>
          <w:iCs/>
          <w:sz w:val="21"/>
          <w:szCs w:val="21"/>
        </w:rPr>
        <w:t xml:space="preserve">HMGB1</w:t>
      </w:r>
      <w:r>
        <w:rPr>
          <w:rFonts w:ascii="Arial" w:cs="Arial" w:eastAsia="Arial" w:hAnsi="Arial"/>
          <w:sz w:val="21"/>
          <w:szCs w:val="21"/>
        </w:rPr>
        <w:t xml:space="preserve"> intra-cohort distribution, cohort-level mean pairwise distances were calculated and converted to Gestalt Scores, yielding 100 cohort values. A null reference distribution was generated by repeatedly sampling diagnosis-independent cohorts of equivalent size from the GestaltMatcher Database, calculating the mean pairwise distance for each sampled cohort and converting these to Gestalt Scores, yielding 3540 reference values. Kernel density estimates were plotted for both distributions, with vertical lines marking the random median, the random 95th percentile and the </w:t>
      </w:r>
      <w:r>
        <w:rPr>
          <w:rFonts w:ascii="Arial" w:cs="Arial" w:eastAsia="Arial" w:hAnsi="Arial"/>
          <w:i/>
          <w:iCs/>
          <w:sz w:val="21"/>
          <w:szCs w:val="21"/>
        </w:rPr>
        <w:t xml:space="preserve">HMGB1</w:t>
      </w:r>
      <w:r>
        <w:rPr>
          <w:rFonts w:ascii="Arial" w:cs="Arial" w:eastAsia="Arial" w:hAnsi="Arial"/>
          <w:sz w:val="21"/>
          <w:szCs w:val="21"/>
        </w:rPr>
        <w:t xml:space="preserve"> median. The random 95th percentile was used as a high-similarity reference threshold, corresponding to the low-distance 5th-percentile threshold used when results are expressed as distances.</w:t>
      </w:r>
    </w:p>
    <w:p>
      <w:pPr>
        <w:spacing w:after="120" w:line="276"/>
      </w:pPr>
      <w:r>
        <w:rPr>
          <w:rFonts w:ascii="Arial" w:cs="Arial" w:eastAsia="Arial" w:hAnsi="Arial"/>
          <w:sz w:val="21"/>
          <w:szCs w:val="21"/>
        </w:rPr>
        <w:t xml:space="preserve">Each </w:t>
      </w:r>
      <w:r>
        <w:rPr>
          <w:rFonts w:ascii="Arial" w:cs="Arial" w:eastAsia="Arial" w:hAnsi="Arial"/>
          <w:i/>
          <w:iCs/>
          <w:sz w:val="21"/>
          <w:szCs w:val="21"/>
        </w:rPr>
        <w:t xml:space="preserve">HMGB1</w:t>
      </w:r>
      <w:r>
        <w:rPr>
          <w:rFonts w:ascii="Arial" w:cs="Arial" w:eastAsia="Arial" w:hAnsi="Arial"/>
          <w:sz w:val="21"/>
          <w:szCs w:val="21"/>
        </w:rPr>
        <w:t xml:space="preserve"> Gestalt Score was mapped to its empirical percentile within the random distribution using a right-inclusive empirical cumulative distribution function. We report the percentile position of the </w:t>
      </w:r>
      <w:r>
        <w:rPr>
          <w:rFonts w:ascii="Arial" w:cs="Arial" w:eastAsia="Arial" w:hAnsi="Arial"/>
          <w:i/>
          <w:iCs/>
          <w:sz w:val="21"/>
          <w:szCs w:val="21"/>
        </w:rPr>
        <w:t xml:space="preserve">HMGB1</w:t>
      </w:r>
      <w:r>
        <w:rPr>
          <w:rFonts w:ascii="Arial" w:cs="Arial" w:eastAsia="Arial" w:hAnsi="Arial"/>
          <w:sz w:val="21"/>
          <w:szCs w:val="21"/>
        </w:rPr>
        <w:t xml:space="preserve"> median together with the median, mean, minimum and maximum empirical percentiles across all </w:t>
      </w:r>
      <w:r>
        <w:rPr>
          <w:rFonts w:ascii="Arial" w:cs="Arial" w:eastAsia="Arial" w:hAnsi="Arial"/>
          <w:i/>
          <w:iCs/>
          <w:sz w:val="21"/>
          <w:szCs w:val="21"/>
        </w:rPr>
        <w:t xml:space="preserve">HMGB1</w:t>
      </w:r>
      <w:r>
        <w:rPr>
          <w:rFonts w:ascii="Arial" w:cs="Arial" w:eastAsia="Arial" w:hAnsi="Arial"/>
          <w:sz w:val="21"/>
          <w:szCs w:val="21"/>
        </w:rPr>
        <w:t xml:space="preserve"> values.</w:t>
      </w:r>
    </w:p>
    <w:p>
      <w:pPr>
        <w:spacing w:after="240" w:line="276"/>
      </w:pPr>
      <w:r>
        <w:rPr>
          <w:rFonts w:ascii="Arial" w:cs="Arial" w:eastAsia="Arial" w:hAnsi="Arial"/>
          <w:sz w:val="21"/>
          <w:szCs w:val="21"/>
        </w:rPr>
        <w:t xml:space="preserve">As an image-level validation, the eight </w:t>
      </w:r>
      <w:r>
        <w:rPr>
          <w:rFonts w:ascii="Arial" w:cs="Arial" w:eastAsia="Arial" w:hAnsi="Arial"/>
          <w:i/>
          <w:iCs/>
          <w:sz w:val="21"/>
          <w:szCs w:val="21"/>
        </w:rPr>
        <w:t xml:space="preserve">HMGB1</w:t>
      </w:r>
      <w:r>
        <w:rPr>
          <w:rFonts w:ascii="Arial" w:cs="Arial" w:eastAsia="Arial" w:hAnsi="Arial"/>
          <w:sz w:val="21"/>
          <w:szCs w:val="21"/>
        </w:rPr>
        <w:t xml:space="preserve"> images were compared against the GestaltMatcher gallery. For each pair, the gallery rank of one image was recorded when the other was used as the query, with lower ranks indicating greater similarity. The full rank matrix is provided in Supplementary Table S3. Because the two Family 6 images are longitudinal photographs of the same child, their reciprocal rank-1 retrieval provides an internal positive control for the method rather than evidence of between-family similarity.</w:t>
      </w:r>
    </w:p>
    <w:p>
      <w:pPr>
        <w:spacing w:after="120" w:before="240"/>
      </w:pPr>
      <w:r>
        <w:rPr>
          <w:rFonts w:ascii="Arial" w:cs="Arial" w:eastAsia="Arial" w:hAnsi="Arial"/>
          <w:b/>
          <w:bCs/>
          <w:sz w:val="24"/>
          <w:szCs w:val="24"/>
        </w:rPr>
        <w:t xml:space="preserve">Supplementary Table legends</w:t>
      </w:r>
    </w:p>
    <w:p>
      <w:pPr>
        <w:spacing w:after="120" w:line="276"/>
      </w:pPr>
      <w:r>
        <w:rPr>
          <w:rFonts w:ascii="Arial" w:cs="Arial" w:eastAsia="Arial" w:hAnsi="Arial"/>
          <w:b/>
          <w:bCs/>
          <w:sz w:val="21"/>
          <w:szCs w:val="21"/>
        </w:rPr>
        <w:t xml:space="preserve">Supplementary Table S1. Complete phenotype matrix.</w:t>
      </w:r>
      <w:r>
        <w:rPr>
          <w:rFonts w:ascii="Arial" w:cs="Arial" w:eastAsia="Arial" w:hAnsi="Arial"/>
          <w:sz w:val="21"/>
          <w:szCs w:val="21"/>
        </w:rPr>
        <w:t xml:space="preserve"> Full phenotype data for all 15 individuals from 13 families, coded against Human Phenotype Ontology terms where available and grouped by organ system. Presence is denoted by + and documented absence by -; blank cells indicate that the feature was not assessed. The header block gives the referring centre, variant, inheritance and ACMG classification for each individual. Counts in the final columns give the number of individuals in whom the feature was recorded as present, the number in whom it was explicitly assessed, and the resulting frequency. Denominators therefore represent individuals in whom the feature was explicitly recorded rather than the whole cohort; absence is systematically under-recorded for dysmorphic features, and sparsely populated columns reflect the extent of available phenotyping rather than milder disease.</w:t>
      </w:r>
    </w:p>
    <w:p>
      <w:pPr>
        <w:spacing w:after="120" w:line="276"/>
      </w:pPr>
      <w:r>
        <w:rPr>
          <w:rFonts w:ascii="Arial" w:cs="Arial" w:eastAsia="Arial" w:hAnsi="Arial"/>
          <w:b/>
          <w:bCs/>
          <w:sz w:val="21"/>
          <w:szCs w:val="21"/>
        </w:rPr>
        <w:t xml:space="preserve">Supplementary Table S2. Variant-level annotation.</w:t>
      </w:r>
      <w:r>
        <w:rPr>
          <w:rFonts w:ascii="Arial" w:cs="Arial" w:eastAsia="Arial" w:hAnsi="Arial"/>
          <w:sz w:val="21"/>
          <w:szCs w:val="21"/>
        </w:rPr>
        <w:t xml:space="preserve"> Complete annotation for the 13 heterozygous </w:t>
      </w:r>
      <w:r>
        <w:rPr>
          <w:rFonts w:ascii="Arial" w:cs="Arial" w:eastAsia="Arial" w:hAnsi="Arial"/>
          <w:i/>
          <w:iCs/>
          <w:sz w:val="21"/>
          <w:szCs w:val="21"/>
        </w:rPr>
        <w:t xml:space="preserve">HMGB1</w:t>
      </w:r>
      <w:r>
        <w:rPr>
          <w:rFonts w:ascii="Arial" w:cs="Arial" w:eastAsia="Arial" w:hAnsi="Arial"/>
          <w:sz w:val="21"/>
          <w:szCs w:val="21"/>
        </w:rPr>
        <w:t xml:space="preserve"> variants, including cDNA and protein descriptions against NM_002128.7, genomic coordinates where available, variant class, predicted consequence, domain location, inheritance, ACMG classification and family-specific notes. Transcript-level consequences for the two splice variants and for the 5′UTR-proximal deletion are predictions that were not confirmed by RNA analysis.</w:t>
      </w:r>
    </w:p>
    <w:p>
      <w:pPr>
        <w:spacing w:after="240" w:line="276"/>
      </w:pPr>
      <w:r>
        <w:rPr>
          <w:rFonts w:ascii="Arial" w:cs="Arial" w:eastAsia="Arial" w:hAnsi="Arial"/>
          <w:b/>
          <w:bCs/>
          <w:sz w:val="21"/>
          <w:szCs w:val="21"/>
        </w:rPr>
        <w:t xml:space="preserve">Supplementary Table S3. GestaltMatcher pairwise gallery ranks.</w:t>
      </w:r>
      <w:r>
        <w:rPr>
          <w:rFonts w:ascii="Arial" w:cs="Arial" w:eastAsia="Arial" w:hAnsi="Arial"/>
          <w:sz w:val="21"/>
          <w:szCs w:val="21"/>
        </w:rPr>
        <w:t xml:space="preserve"> Numerical data underlying Figure 4. Each column represents a query image and each row a candidate image; values give the gallery rank of the row image when the column image was queried. Lower ranks indicate greater facial similarity. Self-comparisons on the diagonal are shaded, as are ranks of 10 or better. The two Family 6 images are longitudinal photographs of the same individual.</w:t>
      </w:r>
    </w:p>
    <w:p>
      <w:pPr>
        <w:spacing w:after="120" w:before="240"/>
      </w:pPr>
      <w:r>
        <w:rPr>
          <w:rFonts w:ascii="Arial" w:cs="Arial" w:eastAsia="Arial" w:hAnsi="Arial"/>
          <w:b/>
          <w:bCs/>
          <w:sz w:val="24"/>
          <w:szCs w:val="24"/>
        </w:rPr>
        <w:t xml:space="preserve">Note on data availability</w:t>
      </w:r>
    </w:p>
    <w:p>
      <w:pPr>
        <w:spacing w:after="120" w:line="276"/>
      </w:pPr>
      <w:r>
        <w:rPr>
          <w:rFonts w:ascii="Arial" w:cs="Arial" w:eastAsia="Arial" w:hAnsi="Arial"/>
          <w:sz w:val="21"/>
          <w:szCs w:val="21"/>
        </w:rPr>
        <w:t xml:space="preserve">Individual-level phenotype and variant data are provided in Supplementary Tables S1 and S2. Facial images are not redistributable and are shown in the main article only for participants with specific consent for publication. Requests for further data should be directed to the corresponding author and are subject to institutional and participant privacy constraints.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2026-07-26T03:26:43.491Z</dcterms:created>
  <dcterms:modified xsi:type="dcterms:W3CDTF">2026-07-26T03:26:43.515Z</dcterms:modified>
</cp:coreProperties>
</file>

<file path=docProps/custom.xml><?xml version="1.0" encoding="utf-8"?>
<Properties xmlns="http://schemas.openxmlformats.org/officeDocument/2006/custom-properties" xmlns:vt="http://schemas.openxmlformats.org/officeDocument/2006/docPropsVTypes"/>
</file>