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additional-file-2"/>
    <w:p>
      <w:pPr>
        <w:pStyle w:val="Heading1"/>
      </w:pPr>
      <w:r>
        <w:t xml:space="preserve">Additional file 2</w:t>
      </w:r>
    </w:p>
    <w:bookmarkStart w:id="27" w:name="X63cfba2bb2d905e2b8108ac9065d1de11924ff4"/>
    <w:p>
      <w:pPr>
        <w:pStyle w:val="Heading2"/>
      </w:pPr>
      <w:r>
        <w:t xml:space="preserve">English-language version of the questionnaire as administered</w:t>
      </w:r>
    </w:p>
    <w:p>
      <w:pPr>
        <w:pStyle w:val="FirstParagraph"/>
      </w:pPr>
      <w:r>
        <w:rPr>
          <w:bCs/>
          <w:b/>
        </w:rPr>
        <w:t xml:space="preserve">Manuscript:</w:t>
      </w:r>
      <w:r>
        <w:t xml:space="preserve"> </w:t>
      </w:r>
      <w:r>
        <w:t xml:space="preserve">Can a single question replace the Cumberland Ankle Instability Tool? Diagnostic accuracy of the Simple Foot and Ankle Value for screening functional ankle instability: a multicentre cross-sectional study</w:t>
      </w:r>
    </w:p>
    <w:p>
      <w:r>
        <w:pict>
          <v:rect style="width:0;height:1.5pt" o:hralign="center" o:hrstd="t" o:hr="t"/>
        </w:pict>
      </w:r>
    </w:p>
    <w:bookmarkStart w:id="20" w:name="note-on-the-content-of-this-file"/>
    <w:p>
      <w:pPr>
        <w:pStyle w:val="Heading3"/>
      </w:pPr>
      <w:r>
        <w:t xml:space="preserve">Note on the content of this file</w:t>
      </w:r>
    </w:p>
    <w:p>
      <w:pPr>
        <w:pStyle w:val="FirstParagraph"/>
      </w:pPr>
      <w:r>
        <w:t xml:space="preserve">The questionnaire administered in this study was a compilation of previously published and validated instruments; no new instrument was developed for the study. It was administered in French, in the order shown below, in identical wording in the paper and online versions.</w:t>
      </w:r>
    </w:p>
    <w:p>
      <w:pPr>
        <w:pStyle w:val="BodyText"/>
      </w:pPr>
      <w:r>
        <w:t xml:space="preserve">This file reproduces in full the sociodemographic section, which was written for the present study, and the single item of the Simple Foot and Ankle Value. The Ankle Activity Score, the Foot and Ankle Ability Measure and the Cumberland Ankle Instability Tool are copyrighted instruments; for these, the exact version, source publication and scoring procedure used are specified below in place of the items themselves, which are available in the cited original publications.</w:t>
      </w:r>
    </w:p>
    <w:p>
      <w:r>
        <w:pict>
          <v:rect style="width:0;height:1.5pt" o:hralign="center" o:hrstd="t" o:hr="t"/>
        </w:pict>
      </w:r>
    </w:p>
    <w:bookmarkEnd w:id="20"/>
    <w:bookmarkStart w:id="21" w:name="Xa5669ea729649f1021188f0f68b0c365b718a7a"/>
    <w:p>
      <w:pPr>
        <w:pStyle w:val="Heading3"/>
      </w:pPr>
      <w:r>
        <w:t xml:space="preserve">Section 1. Sociodemographic and clinical characteristics</w:t>
      </w:r>
    </w:p>
    <w:p>
      <w:pPr>
        <w:pStyle w:val="FirstParagraph"/>
      </w:pPr>
      <w:r>
        <w:rPr>
          <w:iCs/>
          <w:i/>
        </w:rPr>
        <w:t xml:space="preserve">(Written for the present study. English translation of the French wording administered.)</w:t>
      </w:r>
    </w:p>
    <w:p>
      <w:pPr>
        <w:numPr>
          <w:ilvl w:val="0"/>
          <w:numId w:val="1001"/>
        </w:numPr>
        <w:pStyle w:val="Compact"/>
      </w:pPr>
      <w:r>
        <w:t xml:space="preserve">Age (years): ______</w:t>
      </w:r>
    </w:p>
    <w:p>
      <w:pPr>
        <w:numPr>
          <w:ilvl w:val="0"/>
          <w:numId w:val="1001"/>
        </w:numPr>
        <w:pStyle w:val="Compact"/>
      </w:pPr>
      <w:r>
        <w:t xml:space="preserve">Sex: ☐ Female ☐ Male</w:t>
      </w:r>
    </w:p>
    <w:p>
      <w:pPr>
        <w:numPr>
          <w:ilvl w:val="0"/>
          <w:numId w:val="1001"/>
        </w:numPr>
        <w:pStyle w:val="Compact"/>
      </w:pPr>
      <w:r>
        <w:t xml:space="preserve">Height (cm): ______</w:t>
      </w:r>
    </w:p>
    <w:p>
      <w:pPr>
        <w:numPr>
          <w:ilvl w:val="0"/>
          <w:numId w:val="1001"/>
        </w:numPr>
        <w:pStyle w:val="Compact"/>
      </w:pPr>
      <w:r>
        <w:t xml:space="preserve">Weight (kg): ______</w:t>
      </w:r>
    </w:p>
    <w:p>
      <w:pPr>
        <w:numPr>
          <w:ilvl w:val="0"/>
          <w:numId w:val="1001"/>
        </w:numPr>
        <w:pStyle w:val="Compact"/>
      </w:pPr>
      <w:r>
        <w:t xml:space="preserve">Do you currently smoke? ☐ Yes ☐ No</w:t>
      </w:r>
    </w:p>
    <w:p>
      <w:pPr>
        <w:numPr>
          <w:ilvl w:val="0"/>
          <w:numId w:val="1001"/>
        </w:numPr>
        <w:pStyle w:val="Compact"/>
      </w:pPr>
      <w:r>
        <w:t xml:space="preserve">Have you ever undergone surgery on the lower limb? ☐ Yes ☐ No</w:t>
      </w:r>
    </w:p>
    <w:p>
      <w:pPr>
        <w:numPr>
          <w:ilvl w:val="0"/>
          <w:numId w:val="1001"/>
        </w:numPr>
        <w:pStyle w:val="Compact"/>
      </w:pPr>
      <w:r>
        <w:t xml:space="preserve">Are you currently being treated or followed up for an ankle condition? ☐ Yes ☐ No</w:t>
      </w:r>
    </w:p>
    <w:p>
      <w:pPr>
        <w:pStyle w:val="FirstParagraph"/>
      </w:pPr>
      <w:r>
        <w:rPr>
          <w:iCs/>
          <w:i/>
        </w:rPr>
        <w:t xml:space="preserve">Items 6 and 7 were used to apply the exclusion criteria and were not analysed as study variables.</w:t>
      </w:r>
    </w:p>
    <w:p>
      <w:r>
        <w:pict>
          <v:rect style="width:0;height:1.5pt" o:hralign="center" o:hrstd="t" o:hr="t"/>
        </w:pict>
      </w:r>
    </w:p>
    <w:bookmarkEnd w:id="21"/>
    <w:bookmarkStart w:id="22" w:name="section-2.-ankle-activity-score"/>
    <w:p>
      <w:pPr>
        <w:pStyle w:val="Heading3"/>
      </w:pPr>
      <w:r>
        <w:t xml:space="preserve">Section 2. Ankle Activity Score</w:t>
      </w:r>
    </w:p>
    <w:p>
      <w:pPr>
        <w:pStyle w:val="FirstParagraph"/>
      </w:pPr>
      <w:r>
        <w:rPr>
          <w:bCs/>
          <w:b/>
        </w:rPr>
        <w:t xml:space="preserve">Source:</w:t>
      </w:r>
      <w:r>
        <w:t xml:space="preserve"> </w:t>
      </w:r>
      <w:r>
        <w:t xml:space="preserve">Halasi T, Kynsburg A, Tállay A, Berkes I. Development of a new activity score for the evaluation of ankle instability.</w:t>
      </w:r>
      <w:r>
        <w:t xml:space="preserve"> </w:t>
      </w:r>
      <w:r>
        <w:rPr>
          <w:iCs/>
          <w:i/>
        </w:rPr>
        <w:t xml:space="preserve">Am J Sports Med.</w:t>
      </w:r>
      <w:r>
        <w:t xml:space="preserve"> </w:t>
      </w:r>
      <w:r>
        <w:t xml:space="preserve">2004;32(4):899–908.</w:t>
      </w:r>
    </w:p>
    <w:p>
      <w:pPr>
        <w:pStyle w:val="BodyText"/>
      </w:pPr>
      <w:r>
        <w:rPr>
          <w:bCs/>
          <w:b/>
        </w:rPr>
        <w:t xml:space="preserve">Version administered:</w:t>
      </w:r>
      <w:r>
        <w:t xml:space="preserve"> </w:t>
      </w:r>
      <w:r>
        <w:t xml:space="preserve">French translation of the original instrument.</w:t>
      </w:r>
    </w:p>
    <w:p>
      <w:pPr>
        <w:pStyle w:val="BodyText"/>
      </w:pPr>
      <w:r>
        <w:rPr>
          <w:bCs/>
          <w:b/>
        </w:rPr>
        <w:t xml:space="preserve">Format:</w:t>
      </w:r>
      <w:r>
        <w:t xml:space="preserve"> </w:t>
      </w:r>
      <w:r>
        <w:t xml:space="preserve">Single item. Respondents select the level (0 to 10) corresponding to the sport or occupational activity they practise and its competitive level.</w:t>
      </w:r>
    </w:p>
    <w:p>
      <w:pPr>
        <w:pStyle w:val="BodyText"/>
      </w:pPr>
      <w:r>
        <w:rPr>
          <w:bCs/>
          <w:b/>
        </w:rPr>
        <w:t xml:space="preserve">Scoring:</w:t>
      </w:r>
      <w:r>
        <w:t xml:space="preserve"> </w:t>
      </w:r>
      <w:r>
        <w:t xml:space="preserve">The selected level is used directly as the activity score; higher values denote greater ankle-loading activity.</w:t>
      </w:r>
    </w:p>
    <w:p>
      <w:r>
        <w:pict>
          <v:rect style="width:0;height:1.5pt" o:hralign="center" o:hrstd="t" o:hr="t"/>
        </w:pict>
      </w:r>
    </w:p>
    <w:bookmarkEnd w:id="22"/>
    <w:bookmarkStart w:id="23" w:name="X0afc1260c82b8e5caf02d6afb2e8dc17ee68cdc"/>
    <w:p>
      <w:pPr>
        <w:pStyle w:val="Heading3"/>
      </w:pPr>
      <w:r>
        <w:t xml:space="preserve">Section 3. Foot and Ankle Ability Measure (FAAM)</w:t>
      </w:r>
    </w:p>
    <w:p>
      <w:pPr>
        <w:pStyle w:val="FirstParagraph"/>
      </w:pPr>
      <w:r>
        <w:rPr>
          <w:bCs/>
          <w:b/>
        </w:rPr>
        <w:t xml:space="preserve">Sources:</w:t>
      </w:r>
      <w:r>
        <w:t xml:space="preserve"> </w:t>
      </w:r>
      <w:r>
        <w:t xml:space="preserve">Martin RL, Irrgang JJ, Burdett RG, Conti SF, Van Swearingen JM. Evidence of validity for the Foot and Ankle Ability Measure (FAAM).</w:t>
      </w:r>
      <w:r>
        <w:t xml:space="preserve"> </w:t>
      </w:r>
      <w:r>
        <w:rPr>
          <w:iCs/>
          <w:i/>
        </w:rPr>
        <w:t xml:space="preserve">Foot Ankle Int.</w:t>
      </w:r>
      <w:r>
        <w:t xml:space="preserve"> </w:t>
      </w:r>
      <w:r>
        <w:t xml:space="preserve">2005;26(11):968–83. French version as used in Goulart Neto AM, Maffulli N, Migliorini F, De Menezes FS, Okubo R.</w:t>
      </w:r>
      <w:r>
        <w:t xml:space="preserve"> </w:t>
      </w:r>
      <w:r>
        <w:rPr>
          <w:iCs/>
          <w:i/>
        </w:rPr>
        <w:t xml:space="preserve">J Orthop Surg Res.</w:t>
      </w:r>
      <w:r>
        <w:t xml:space="preserve"> </w:t>
      </w:r>
      <w:r>
        <w:t xml:space="preserve">2022;17(1):38.</w:t>
      </w:r>
    </w:p>
    <w:p>
      <w:pPr>
        <w:pStyle w:val="BodyText"/>
      </w:pPr>
      <w:r>
        <w:rPr>
          <w:bCs/>
          <w:b/>
        </w:rPr>
        <w:t xml:space="preserve">Version administered:</w:t>
      </w:r>
      <w:r>
        <w:t xml:space="preserve"> </w:t>
      </w:r>
      <w:r>
        <w:t xml:space="preserve">Validated French version, both subscales.</w:t>
      </w:r>
    </w:p>
    <w:p>
      <w:pPr>
        <w:pStyle w:val="BodyText"/>
      </w:pPr>
      <w:r>
        <w:rPr>
          <w:bCs/>
          <w:b/>
        </w:rPr>
        <w:t xml:space="preserve">Format:</w:t>
      </w:r>
      <w:r>
        <w:t xml:space="preserve"> </w:t>
      </w:r>
      <w:r>
        <w:t xml:space="preserve">Activities of Daily Living subscale, 21 items; Sport subscale, 8 items. Each item is rated on a five-point scale from</w:t>
      </w:r>
      <w:r>
        <w:t xml:space="preserve"> </w:t>
      </w:r>
      <w:r>
        <w:t xml:space="preserve">“</w:t>
      </w:r>
      <w:r>
        <w:t xml:space="preserve">no difficulty at all</w:t>
      </w:r>
      <w:r>
        <w:t xml:space="preserve">”</w:t>
      </w:r>
      <w:r>
        <w:t xml:space="preserve"> </w:t>
      </w:r>
      <w:r>
        <w:t xml:space="preserve">to</w:t>
      </w:r>
      <w:r>
        <w:t xml:space="preserve"> </w:t>
      </w:r>
      <w:r>
        <w:t xml:space="preserve">“</w:t>
      </w:r>
      <w:r>
        <w:t xml:space="preserve">unable to do</w:t>
      </w:r>
      <w:r>
        <w:t xml:space="preserve">”</w:t>
      </w:r>
      <w:r>
        <w:t xml:space="preserve">, with an additional</w:t>
      </w:r>
      <w:r>
        <w:t xml:space="preserve"> </w:t>
      </w:r>
      <w:r>
        <w:t xml:space="preserve">“</w:t>
      </w:r>
      <w:r>
        <w:t xml:space="preserve">not applicable</w:t>
      </w:r>
      <w:r>
        <w:t xml:space="preserve">”</w:t>
      </w:r>
      <w:r>
        <w:t xml:space="preserve"> </w:t>
      </w:r>
      <w:r>
        <w:t xml:space="preserve">option.</w:t>
      </w:r>
    </w:p>
    <w:p>
      <w:pPr>
        <w:pStyle w:val="BodyText"/>
      </w:pPr>
      <w:r>
        <w:rPr>
          <w:bCs/>
          <w:b/>
        </w:rPr>
        <w:t xml:space="preserve">Scoring:</w:t>
      </w:r>
      <w:r>
        <w:t xml:space="preserve"> </w:t>
      </w:r>
      <w:r>
        <w:t xml:space="preserve">Each subscale is scored as a percentage of the maximum attainable score, items marked</w:t>
      </w:r>
      <w:r>
        <w:t xml:space="preserve"> </w:t>
      </w:r>
      <w:r>
        <w:t xml:space="preserve">“</w:t>
      </w:r>
      <w:r>
        <w:t xml:space="preserve">not applicable</w:t>
      </w:r>
      <w:r>
        <w:t xml:space="preserve">”</w:t>
      </w:r>
      <w:r>
        <w:t xml:space="preserve"> </w:t>
      </w:r>
      <w:r>
        <w:t xml:space="preserve">being excluded from the denominator. Higher scores denote better function.</w:t>
      </w:r>
    </w:p>
    <w:p>
      <w:r>
        <w:pict>
          <v:rect style="width:0;height:1.5pt" o:hralign="center" o:hrstd="t" o:hr="t"/>
        </w:pict>
      </w:r>
    </w:p>
    <w:bookmarkEnd w:id="23"/>
    <w:bookmarkStart w:id="24" w:name="Xcb3e896fa0e007003d6dcf923839b2722ede0bc"/>
    <w:p>
      <w:pPr>
        <w:pStyle w:val="Heading3"/>
      </w:pPr>
      <w:r>
        <w:t xml:space="preserve">Section 4. Cumberland Ankle Instability Tool (CAIT)</w:t>
      </w:r>
    </w:p>
    <w:p>
      <w:pPr>
        <w:pStyle w:val="FirstParagraph"/>
      </w:pPr>
      <w:r>
        <w:rPr>
          <w:bCs/>
          <w:b/>
        </w:rPr>
        <w:t xml:space="preserve">Sources:</w:t>
      </w:r>
      <w:r>
        <w:t xml:space="preserve"> </w:t>
      </w:r>
      <w:r>
        <w:t xml:space="preserve">Hiller CE, Refshauge KM, Bundy AC, Herbert RD, Kilbreath SL. The Cumberland Ankle Instability Tool: a report of validity and reliability testing.</w:t>
      </w:r>
      <w:r>
        <w:t xml:space="preserve"> </w:t>
      </w:r>
      <w:r>
        <w:rPr>
          <w:iCs/>
          <w:i/>
        </w:rPr>
        <w:t xml:space="preserve">Arch Phys Med Rehabil.</w:t>
      </w:r>
      <w:r>
        <w:t xml:space="preserve"> </w:t>
      </w:r>
      <w:r>
        <w:t xml:space="preserve">2006;87(9):1235–41. French translation and validation: Geerinck A, Beaudart C, Salvan Q, Van Beveren J, D’Hooghe P, Bruyère O, et al. </w:t>
      </w:r>
      <w:r>
        <w:rPr>
          <w:iCs/>
          <w:i/>
        </w:rPr>
        <w:t xml:space="preserve">Foot Ankle Surg.</w:t>
      </w:r>
      <w:r>
        <w:t xml:space="preserve"> </w:t>
      </w:r>
      <w:r>
        <w:t xml:space="preserve">2020;26(4):391–7.</w:t>
      </w:r>
    </w:p>
    <w:p>
      <w:pPr>
        <w:pStyle w:val="BodyText"/>
      </w:pPr>
      <w:r>
        <w:rPr>
          <w:bCs/>
          <w:b/>
        </w:rPr>
        <w:t xml:space="preserve">Version administered:</w:t>
      </w:r>
      <w:r>
        <w:t xml:space="preserve"> </w:t>
      </w:r>
      <w:r>
        <w:t xml:space="preserve">Validated French version, completed separately and in full for the left ankle and for the right ankle.</w:t>
      </w:r>
    </w:p>
    <w:p>
      <w:pPr>
        <w:pStyle w:val="BodyText"/>
      </w:pPr>
      <w:r>
        <w:rPr>
          <w:bCs/>
          <w:b/>
        </w:rPr>
        <w:t xml:space="preserve">Format:</w:t>
      </w:r>
      <w:r>
        <w:t xml:space="preserve"> </w:t>
      </w:r>
      <w:r>
        <w:t xml:space="preserve">Nine items per ankle concerning pain, instability and giving way during a range of activities and surfaces.</w:t>
      </w:r>
    </w:p>
    <w:p>
      <w:pPr>
        <w:pStyle w:val="BodyText"/>
      </w:pPr>
      <w:r>
        <w:rPr>
          <w:bCs/>
          <w:b/>
        </w:rPr>
        <w:t xml:space="preserve">Scoring:</w:t>
      </w:r>
      <w:r>
        <w:t xml:space="preserve"> </w:t>
      </w:r>
      <w:r>
        <w:t xml:space="preserve">Item scores are summed to give a total of 0 to 30 per ankle, higher scores denoting greater perceived stability. Functional ankle instability was defined a priori as a score of 23 or less in at least one ankle, the threshold derived in the French validation study.</w:t>
      </w:r>
    </w:p>
    <w:p>
      <w:r>
        <w:pict>
          <v:rect style="width:0;height:1.5pt" o:hralign="center" o:hrstd="t" o:hr="t"/>
        </w:pict>
      </w:r>
    </w:p>
    <w:bookmarkEnd w:id="24"/>
    <w:bookmarkStart w:id="25" w:name="Xd0eb63ad0fa7a80ca777d79fc250befc6a9f891"/>
    <w:p>
      <w:pPr>
        <w:pStyle w:val="Heading3"/>
      </w:pPr>
      <w:r>
        <w:t xml:space="preserve">Section 5. Simple Foot and Ankle Value (SFAV)</w:t>
      </w:r>
    </w:p>
    <w:p>
      <w:pPr>
        <w:pStyle w:val="FirstParagraph"/>
      </w:pPr>
      <w:r>
        <w:rPr>
          <w:bCs/>
          <w:b/>
        </w:rPr>
        <w:t xml:space="preserve">Source:</w:t>
      </w:r>
      <w:r>
        <w:t xml:space="preserve"> </w:t>
      </w:r>
      <w:r>
        <w:t xml:space="preserve">Marot V, Justo A, Guenego E, Klein D, Reina N, Cavaignac E, et al. Simple foot and ankle value: a simple evaluation correlated to the existing PROMs.</w:t>
      </w:r>
      <w:r>
        <w:t xml:space="preserve"> </w:t>
      </w:r>
      <w:r>
        <w:rPr>
          <w:iCs/>
          <w:i/>
        </w:rPr>
        <w:t xml:space="preserve">Eur J Orthop Surg Traumatol.</w:t>
      </w:r>
      <w:r>
        <w:t xml:space="preserve"> </w:t>
      </w:r>
      <w:r>
        <w:t xml:space="preserve">2023;33(7):3011–7.</w:t>
      </w:r>
    </w:p>
    <w:p>
      <w:pPr>
        <w:pStyle w:val="BodyText"/>
      </w:pPr>
      <w:r>
        <w:rPr>
          <w:bCs/>
          <w:b/>
        </w:rPr>
        <w:t xml:space="preserve">Version administered:</w:t>
      </w:r>
      <w:r>
        <w:t xml:space="preserve"> </w:t>
      </w:r>
      <w:r>
        <w:t xml:space="preserve">Validated French wording, administered as the final item of the questionnaire.</w:t>
      </w:r>
    </w:p>
    <w:p>
      <w:pPr>
        <w:pStyle w:val="BodyText"/>
      </w:pPr>
      <w:r>
        <w:rPr>
          <w:bCs/>
          <w:b/>
        </w:rPr>
        <w:t xml:space="preserve">Item, in English translation:</w:t>
      </w:r>
    </w:p>
    <w:p>
      <w:pPr>
        <w:pStyle w:val="BlockText"/>
      </w:pPr>
      <w:r>
        <w:t xml:space="preserve">How would you rate the function of your ankle as a percentage of normal (0% to 100%, where 100% is normal)?</w:t>
      </w:r>
    </w:p>
    <w:p>
      <w:pPr>
        <w:pStyle w:val="BlockText"/>
      </w:pPr>
      <w:r>
        <w:t xml:space="preserve">______ %</w:t>
      </w:r>
    </w:p>
    <w:p>
      <w:pPr>
        <w:pStyle w:val="FirstParagraph"/>
      </w:pPr>
      <w:r>
        <w:rPr>
          <w:bCs/>
          <w:b/>
        </w:rPr>
        <w:t xml:space="preserve">Scoring:</w:t>
      </w:r>
      <w:r>
        <w:t xml:space="preserve"> </w:t>
      </w:r>
      <w:r>
        <w:t xml:space="preserve">The value recorded by the respondent, from 0 to 100, is used directly. The question refers to ankle function as a whole and does not designate a side; it was therefore treated as a person-level measure.</w:t>
      </w:r>
    </w:p>
    <w:p>
      <w:r>
        <w:pict>
          <v:rect style="width:0;height:1.5pt" o:hralign="center" o:hrstd="t" o:hr="t"/>
        </w:pict>
      </w:r>
    </w:p>
    <w:bookmarkEnd w:id="25"/>
    <w:bookmarkStart w:id="26" w:name="order-of-administration"/>
    <w:p>
      <w:pPr>
        <w:pStyle w:val="Heading3"/>
      </w:pPr>
      <w:r>
        <w:t xml:space="preserve">Order of administration</w:t>
      </w:r>
    </w:p>
    <w:p>
      <w:pPr>
        <w:pStyle w:val="FirstParagraph"/>
      </w:pPr>
      <w:r>
        <w:t xml:space="preserve">Sections were presented in the order given above: sociodemographic section, Ankle Activity Score, Foot and Ankle Ability Measure (Activities of Daily Living then Sport), Cumberland Ankle Instability Tool (left ankle then right ankle), Simple Foot and Ankle Value. The implications of placing the Simple Foot and Ankle Value after the Cumberland Ankle Instability Tool are considered in the Discussion of the main manuscript.</w:t>
      </w:r>
    </w:p>
    <w:p>
      <w:pPr>
        <w:pStyle w:val="BodyText"/>
      </w:pPr>
      <w:r>
        <w:t xml:space="preserve">In the online version, every field had to be completed before the questionnaire could be submitted; in the paper version it did not. The two versions were otherwise identical in wording and item order.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2026-08-03T09:58:35Z</dcterms:created>
  <dcterms:modified xsi:type="dcterms:W3CDTF">2026-08-03T09:58:35Z</dcterms:modified>
</cp:coreProperties>
</file>

<file path=docProps/custom.xml><?xml version="1.0" encoding="utf-8"?>
<Properties xmlns="http://schemas.openxmlformats.org/officeDocument/2006/custom-properties" xmlns:vt="http://schemas.openxmlformats.org/officeDocument/2006/docPropsVTypes"/>
</file>