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3E2C" w14:textId="63B540AD" w:rsidR="009E4D9C" w:rsidRPr="005D3885" w:rsidRDefault="009E4D9C" w:rsidP="009E4D9C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5D3885">
        <w:rPr>
          <w:rFonts w:ascii="Times New Roman" w:hAnsi="Times New Roman" w:cs="Times New Roman"/>
          <w:sz w:val="24"/>
          <w:szCs w:val="24"/>
        </w:rPr>
        <w:t xml:space="preserve">Supplemental Table 1. Study </w:t>
      </w:r>
      <w:proofErr w:type="spellStart"/>
      <w:r w:rsidRPr="005D3885">
        <w:rPr>
          <w:rFonts w:ascii="Times New Roman" w:hAnsi="Times New Roman" w:cs="Times New Roman"/>
          <w:sz w:val="24"/>
          <w:szCs w:val="24"/>
        </w:rPr>
        <w:t>Endpoints</w:t>
      </w:r>
      <w:r w:rsidRPr="005D388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E4D9C" w:rsidRPr="005D3885" w14:paraId="046CAAD0" w14:textId="77777777" w:rsidTr="00515605">
        <w:trPr>
          <w:trHeight w:val="576"/>
        </w:trPr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5F820" w14:textId="77777777" w:rsidR="009E4D9C" w:rsidRPr="005D3885" w:rsidRDefault="009E4D9C" w:rsidP="0051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hAnsi="Times New Roman" w:cs="Times New Roman"/>
                <w:sz w:val="24"/>
                <w:szCs w:val="24"/>
              </w:rPr>
              <w:t>Endpoints</w:t>
            </w:r>
          </w:p>
        </w:tc>
      </w:tr>
      <w:tr w:rsidR="009E4D9C" w:rsidRPr="005D3885" w14:paraId="03622B89" w14:textId="77777777" w:rsidTr="00515605">
        <w:trPr>
          <w:trHeight w:val="576"/>
        </w:trPr>
        <w:tc>
          <w:tcPr>
            <w:tcW w:w="9016" w:type="dxa"/>
            <w:tcBorders>
              <w:top w:val="single" w:sz="4" w:space="0" w:color="auto"/>
            </w:tcBorders>
            <w:vAlign w:val="center"/>
          </w:tcPr>
          <w:p w14:paraId="57E1901A" w14:textId="77777777" w:rsidR="009E4D9C" w:rsidRPr="005D3885" w:rsidRDefault="009E4D9C" w:rsidP="0051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</w:p>
        </w:tc>
      </w:tr>
      <w:tr w:rsidR="009E4D9C" w:rsidRPr="005D3885" w14:paraId="1D4462F9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682CE46F" w14:textId="77777777" w:rsidR="009E4D9C" w:rsidRPr="005D3885" w:rsidRDefault="009E4D9C" w:rsidP="00515605">
            <w:pPr>
              <w:ind w:left="5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hAnsi="Times New Roman" w:cs="Times New Roman"/>
                <w:sz w:val="24"/>
                <w:szCs w:val="24"/>
              </w:rPr>
              <w:t>Safety</w:t>
            </w:r>
          </w:p>
        </w:tc>
      </w:tr>
      <w:tr w:rsidR="009E4D9C" w:rsidRPr="005D3885" w14:paraId="00065269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6395AC78" w14:textId="77777777" w:rsidR="009E4D9C" w:rsidRPr="005D3885" w:rsidRDefault="009E4D9C" w:rsidP="00515605">
            <w:pPr>
              <w:ind w:left="8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885">
              <w:rPr>
                <w:rFonts w:ascii="Times New Roman" w:hAnsi="Times New Roman" w:cs="Times New Roman"/>
                <w:sz w:val="24"/>
                <w:szCs w:val="24"/>
              </w:rPr>
              <w:t>ElePulse</w:t>
            </w:r>
            <w:proofErr w:type="spellEnd"/>
            <w:r w:rsidRPr="005D3885">
              <w:rPr>
                <w:rFonts w:ascii="Times New Roman" w:hAnsi="Times New Roman" w:cs="Times New Roman"/>
                <w:sz w:val="24"/>
                <w:szCs w:val="24"/>
              </w:rPr>
              <w:t xml:space="preserve"> PFA SAEs at 7 days &lt;5%</w:t>
            </w:r>
          </w:p>
        </w:tc>
      </w:tr>
      <w:tr w:rsidR="009E4D9C" w:rsidRPr="005D3885" w14:paraId="0B4DD09C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0D943F51" w14:textId="77777777" w:rsidR="009E4D9C" w:rsidRPr="005D3885" w:rsidRDefault="009E4D9C" w:rsidP="00515605">
            <w:pPr>
              <w:ind w:left="881"/>
              <w:rPr>
                <w:rFonts w:ascii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hAnsi="Times New Roman" w:cs="Times New Roman"/>
                <w:sz w:val="24"/>
                <w:szCs w:val="24"/>
              </w:rPr>
              <w:t>Procedure-related SAEs at 30 days &lt;5%</w:t>
            </w:r>
          </w:p>
        </w:tc>
      </w:tr>
      <w:tr w:rsidR="009E4D9C" w:rsidRPr="005D3885" w14:paraId="55D7438C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4348AB0F" w14:textId="77777777" w:rsidR="009E4D9C" w:rsidRPr="005D3885" w:rsidRDefault="009E4D9C" w:rsidP="00515605">
            <w:pPr>
              <w:ind w:left="5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hAnsi="Times New Roman" w:cs="Times New Roman"/>
                <w:sz w:val="24"/>
                <w:szCs w:val="24"/>
              </w:rPr>
              <w:t>Efficacy</w:t>
            </w:r>
          </w:p>
        </w:tc>
      </w:tr>
      <w:tr w:rsidR="009E4D9C" w:rsidRPr="005D3885" w14:paraId="4A674F14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3E47251B" w14:textId="77777777" w:rsidR="009E4D9C" w:rsidRPr="005D3885" w:rsidRDefault="009E4D9C" w:rsidP="00515605">
            <w:pPr>
              <w:ind w:left="881"/>
              <w:rPr>
                <w:rFonts w:ascii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hAnsi="Times New Roman" w:cs="Times New Roman"/>
                <w:sz w:val="24"/>
                <w:szCs w:val="24"/>
              </w:rPr>
              <w:t>Freedom from recurrent AF at 12 months of follow-up &gt;50%</w:t>
            </w:r>
          </w:p>
        </w:tc>
      </w:tr>
      <w:tr w:rsidR="009E4D9C" w:rsidRPr="005D3885" w14:paraId="6E025C40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78519D09" w14:textId="77777777" w:rsidR="009E4D9C" w:rsidRPr="005D3885" w:rsidRDefault="009E4D9C" w:rsidP="0051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</w:tr>
      <w:tr w:rsidR="009E4D9C" w:rsidRPr="005D3885" w14:paraId="0CD9DE08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6B99F85C" w14:textId="77777777" w:rsidR="009E4D9C" w:rsidRPr="005D3885" w:rsidRDefault="009E4D9C" w:rsidP="00515605">
            <w:pPr>
              <w:ind w:left="881"/>
              <w:rPr>
                <w:rFonts w:ascii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hAnsi="Times New Roman" w:cs="Times New Roman"/>
                <w:sz w:val="24"/>
                <w:szCs w:val="24"/>
              </w:rPr>
              <w:t>Rate of pulmonary vein isolation durability at 3-month follow up &gt;50%</w:t>
            </w:r>
          </w:p>
        </w:tc>
      </w:tr>
      <w:tr w:rsidR="009E4D9C" w:rsidRPr="005D3885" w14:paraId="11A8D89F" w14:textId="77777777" w:rsidTr="00515605">
        <w:trPr>
          <w:trHeight w:val="576"/>
        </w:trPr>
        <w:tc>
          <w:tcPr>
            <w:tcW w:w="9016" w:type="dxa"/>
            <w:tcBorders>
              <w:bottom w:val="single" w:sz="4" w:space="0" w:color="auto"/>
            </w:tcBorders>
            <w:vAlign w:val="center"/>
          </w:tcPr>
          <w:p w14:paraId="1D278F15" w14:textId="77777777" w:rsidR="009E4D9C" w:rsidRPr="005D3885" w:rsidRDefault="009E4D9C" w:rsidP="00515605">
            <w:pPr>
              <w:ind w:left="881"/>
              <w:rPr>
                <w:rFonts w:ascii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hAnsi="Times New Roman" w:cs="Times New Roman"/>
                <w:sz w:val="24"/>
                <w:szCs w:val="24"/>
              </w:rPr>
              <w:t>Freedom from recurrent AF at 6 months of follow-up &gt;60%</w:t>
            </w:r>
          </w:p>
        </w:tc>
      </w:tr>
    </w:tbl>
    <w:p w14:paraId="158B03E3" w14:textId="77777777" w:rsidR="009E4D9C" w:rsidRPr="005D3885" w:rsidRDefault="009E4D9C" w:rsidP="009E4D9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388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5D3885">
        <w:rPr>
          <w:rFonts w:ascii="Times New Roman" w:hAnsi="Times New Roman" w:cs="Times New Roman"/>
          <w:sz w:val="24"/>
          <w:szCs w:val="24"/>
        </w:rPr>
        <w:t xml:space="preserve"> AF = atrial fibrillation; PFA = pulsed-field ablation; SAE = serious adverse event</w:t>
      </w:r>
    </w:p>
    <w:p w14:paraId="788CBB5A" w14:textId="3B7F0EC8" w:rsidR="009E4D9C" w:rsidRPr="005D3885" w:rsidRDefault="009E4D9C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5D3885">
        <w:rPr>
          <w:rFonts w:ascii="Times New Roman" w:hAnsi="Times New Roman" w:cs="Times New Roman"/>
          <w:sz w:val="24"/>
          <w:szCs w:val="24"/>
        </w:rPr>
        <w:br w:type="page"/>
      </w:r>
    </w:p>
    <w:p w14:paraId="6B8D46BB" w14:textId="5884A7DF" w:rsidR="00DB7C28" w:rsidRPr="005D3885" w:rsidRDefault="00DB7C28" w:rsidP="00DB7C28">
      <w:pPr>
        <w:rPr>
          <w:rFonts w:ascii="Times New Roman" w:eastAsia="Aptos" w:hAnsi="Times New Roman" w:cs="Times New Roman"/>
          <w:sz w:val="24"/>
          <w:szCs w:val="24"/>
        </w:rPr>
      </w:pPr>
      <w:r w:rsidRPr="005D3885">
        <w:rPr>
          <w:rFonts w:ascii="Times New Roman" w:eastAsia="Aptos" w:hAnsi="Times New Roman" w:cs="Times New Roman"/>
          <w:sz w:val="24"/>
          <w:szCs w:val="24"/>
        </w:rPr>
        <w:lastRenderedPageBreak/>
        <w:t xml:space="preserve">Supplemental Table 2. Inclusion and Exclusion </w:t>
      </w:r>
      <w:proofErr w:type="spellStart"/>
      <w:r w:rsidRPr="005D3885">
        <w:rPr>
          <w:rFonts w:ascii="Times New Roman" w:eastAsia="Aptos" w:hAnsi="Times New Roman" w:cs="Times New Roman"/>
          <w:sz w:val="24"/>
          <w:szCs w:val="24"/>
        </w:rPr>
        <w:t>Criteria</w:t>
      </w:r>
      <w:r w:rsidRPr="005D3885">
        <w:rPr>
          <w:rFonts w:ascii="Times New Roman" w:eastAsia="Aptos" w:hAnsi="Times New Roman" w:cs="Times New Roman"/>
          <w:sz w:val="24"/>
          <w:szCs w:val="24"/>
          <w:vertAlign w:val="superscript"/>
        </w:rPr>
        <w:t>a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B7C28" w:rsidRPr="005D3885" w14:paraId="073542F3" w14:textId="77777777" w:rsidTr="00515605">
        <w:trPr>
          <w:trHeight w:val="576"/>
        </w:trPr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F6BBF" w14:textId="77777777" w:rsidR="00DB7C28" w:rsidRPr="005D3885" w:rsidRDefault="00DB7C28" w:rsidP="00DB7C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Criteria</w:t>
            </w:r>
          </w:p>
        </w:tc>
      </w:tr>
      <w:tr w:rsidR="00DB7C28" w:rsidRPr="005D3885" w14:paraId="00022B78" w14:textId="77777777" w:rsidTr="00D020F9">
        <w:trPr>
          <w:trHeight w:val="576"/>
        </w:trPr>
        <w:tc>
          <w:tcPr>
            <w:tcW w:w="9016" w:type="dxa"/>
            <w:tcBorders>
              <w:top w:val="single" w:sz="4" w:space="0" w:color="auto"/>
            </w:tcBorders>
            <w:vAlign w:val="center"/>
          </w:tcPr>
          <w:p w14:paraId="21561F79" w14:textId="77777777" w:rsidR="00DB7C28" w:rsidRPr="005D3885" w:rsidRDefault="00DB7C28" w:rsidP="00DB7C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Inclusion</w:t>
            </w:r>
          </w:p>
        </w:tc>
      </w:tr>
      <w:tr w:rsidR="00DB7C28" w:rsidRPr="005D3885" w14:paraId="3331BF42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6E4A4B25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Suitable candidate for intra-cardiac mapping and ablation for arrhythmias</w:t>
            </w:r>
          </w:p>
        </w:tc>
      </w:tr>
      <w:tr w:rsidR="00DB7C28" w:rsidRPr="005D3885" w14:paraId="3CE8621E" w14:textId="77777777" w:rsidTr="00515605">
        <w:trPr>
          <w:trHeight w:val="720"/>
        </w:trPr>
        <w:tc>
          <w:tcPr>
            <w:tcW w:w="9016" w:type="dxa"/>
            <w:vAlign w:val="center"/>
          </w:tcPr>
          <w:p w14:paraId="16830F23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History of recurrent symptomatic paroxysmal AF or persistent AF with ≥2 episodes reported within the 365 days (12 months) prior to </w:t>
            </w:r>
            <w:proofErr w:type="spellStart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enrollment</w:t>
            </w:r>
            <w:proofErr w:type="spellEnd"/>
          </w:p>
        </w:tc>
      </w:tr>
      <w:tr w:rsidR="00DB7C28" w:rsidRPr="005D3885" w14:paraId="064937D5" w14:textId="77777777" w:rsidTr="00515605">
        <w:trPr>
          <w:trHeight w:val="720"/>
        </w:trPr>
        <w:tc>
          <w:tcPr>
            <w:tcW w:w="9016" w:type="dxa"/>
            <w:vAlign w:val="center"/>
          </w:tcPr>
          <w:p w14:paraId="3A08FFC7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 least one episode of AF documented by Holter monitor, rhythm strip, trans-telephonic monitor (TTM), or 12-lead ECG prior to </w:t>
            </w:r>
            <w:proofErr w:type="spellStart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enrollment</w:t>
            </w:r>
            <w:proofErr w:type="spellEnd"/>
          </w:p>
        </w:tc>
      </w:tr>
      <w:tr w:rsidR="00DB7C28" w:rsidRPr="005D3885" w14:paraId="21A32493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41EFA53E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Refractory to at least one Class I - IV anti-arrhythmic drug (AAD)</w:t>
            </w:r>
          </w:p>
        </w:tc>
      </w:tr>
      <w:tr w:rsidR="00DB7C28" w:rsidRPr="005D3885" w14:paraId="58DEF3B2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0ABEE835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Eighteen (18) years of age or above</w:t>
            </w:r>
          </w:p>
        </w:tc>
      </w:tr>
      <w:tr w:rsidR="00DB7C28" w:rsidRPr="005D3885" w14:paraId="07BBF289" w14:textId="77777777" w:rsidTr="00515605">
        <w:trPr>
          <w:trHeight w:val="720"/>
        </w:trPr>
        <w:tc>
          <w:tcPr>
            <w:tcW w:w="9016" w:type="dxa"/>
            <w:vAlign w:val="center"/>
          </w:tcPr>
          <w:p w14:paraId="7C37E793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Competent and willing to provide written informed consent to participate in the study and agree to comply with the follow-up visits and evaluation</w:t>
            </w:r>
          </w:p>
        </w:tc>
      </w:tr>
      <w:tr w:rsidR="00DB7C28" w:rsidRPr="005D3885" w14:paraId="44E6CD6C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50541642" w14:textId="77777777" w:rsidR="00DB7C28" w:rsidRPr="005D3885" w:rsidRDefault="00DB7C28" w:rsidP="00DB7C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Exclusion</w:t>
            </w:r>
          </w:p>
        </w:tc>
      </w:tr>
      <w:tr w:rsidR="00DB7C28" w:rsidRPr="005D3885" w14:paraId="38398547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65639434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Previous left atrial ablation procedure</w:t>
            </w:r>
          </w:p>
        </w:tc>
      </w:tr>
      <w:tr w:rsidR="00DB7C28" w:rsidRPr="005D3885" w14:paraId="468A6F0A" w14:textId="77777777" w:rsidTr="00515605">
        <w:trPr>
          <w:trHeight w:val="720"/>
        </w:trPr>
        <w:tc>
          <w:tcPr>
            <w:tcW w:w="9016" w:type="dxa"/>
            <w:vAlign w:val="center"/>
          </w:tcPr>
          <w:p w14:paraId="11BACE56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Intracardiac thrombus, </w:t>
            </w:r>
            <w:proofErr w:type="spellStart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tumor</w:t>
            </w:r>
            <w:proofErr w:type="spellEnd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, or other abnormality that precludes catheter introduction and placement</w:t>
            </w:r>
          </w:p>
        </w:tc>
      </w:tr>
      <w:tr w:rsidR="00DB7C28" w:rsidRPr="005D3885" w14:paraId="7A9693F3" w14:textId="77777777" w:rsidTr="00515605">
        <w:trPr>
          <w:trHeight w:val="1152"/>
        </w:trPr>
        <w:tc>
          <w:tcPr>
            <w:tcW w:w="9016" w:type="dxa"/>
            <w:vAlign w:val="center"/>
          </w:tcPr>
          <w:p w14:paraId="47D2BC82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Left atrial (LA) diameter &gt; 50mm (if patients are symptomatic due to their AF burden and require an ablation for </w:t>
            </w:r>
            <w:proofErr w:type="gramStart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quality of life</w:t>
            </w:r>
            <w:proofErr w:type="gramEnd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reasons, then a waiver to include larger LA diameters may be considered by the Sponsor)</w:t>
            </w:r>
          </w:p>
        </w:tc>
      </w:tr>
      <w:tr w:rsidR="00DB7C28" w:rsidRPr="005D3885" w14:paraId="698F2D6E" w14:textId="77777777" w:rsidTr="00515605">
        <w:trPr>
          <w:trHeight w:val="720"/>
        </w:trPr>
        <w:tc>
          <w:tcPr>
            <w:tcW w:w="9016" w:type="dxa"/>
            <w:vAlign w:val="center"/>
          </w:tcPr>
          <w:p w14:paraId="7DB6D17A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Known severe cerebrovascular disease or history of cerebrovascular event (within 1 month)</w:t>
            </w:r>
          </w:p>
        </w:tc>
      </w:tr>
      <w:tr w:rsidR="00DB7C28" w:rsidRPr="005D3885" w14:paraId="24D26768" w14:textId="77777777" w:rsidTr="00515605">
        <w:trPr>
          <w:trHeight w:val="2592"/>
        </w:trPr>
        <w:tc>
          <w:tcPr>
            <w:tcW w:w="9016" w:type="dxa"/>
            <w:vAlign w:val="center"/>
          </w:tcPr>
          <w:p w14:paraId="34CEB565" w14:textId="77777777" w:rsidR="00DB7C28" w:rsidRPr="005D3885" w:rsidRDefault="00DB7C28" w:rsidP="00DB7C28">
            <w:pPr>
              <w:spacing w:after="120" w:line="240" w:lineRule="auto"/>
              <w:ind w:left="5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Patients with severely impaired kidney function as measure by a Cockcroft-Gault Glomerular Filtration Rate (GFR) with a GFR ≤ 60 (previously ≤ 30 – see results section). This is calculated as follows for males:</w:t>
            </w:r>
          </w:p>
          <w:p w14:paraId="7911B4C3" w14:textId="77777777" w:rsidR="00DB7C28" w:rsidRPr="005D3885" w:rsidRDefault="00DB7C28" w:rsidP="00DB7C28">
            <w:pPr>
              <w:spacing w:line="240" w:lineRule="auto"/>
              <w:ind w:left="205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GFR = </w:t>
            </w: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(140 - age) x weight x .85 (for females)</w:t>
            </w:r>
          </w:p>
          <w:p w14:paraId="37508B36" w14:textId="77777777" w:rsidR="00DB7C28" w:rsidRPr="005D3885" w:rsidRDefault="00DB7C28" w:rsidP="00DB7C28">
            <w:pPr>
              <w:spacing w:line="240" w:lineRule="auto"/>
              <w:ind w:left="40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PCr</w:t>
            </w:r>
            <w:proofErr w:type="spellEnd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72</w:t>
            </w:r>
          </w:p>
          <w:p w14:paraId="27F95F86" w14:textId="77777777" w:rsidR="00DB7C28" w:rsidRPr="005D3885" w:rsidRDefault="00DB7C28" w:rsidP="00DB7C28">
            <w:pPr>
              <w:spacing w:before="120" w:line="240" w:lineRule="auto"/>
              <w:ind w:left="5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where age is specified in years, weight in kg, and </w:t>
            </w:r>
            <w:proofErr w:type="spellStart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PCr</w:t>
            </w:r>
            <w:proofErr w:type="spellEnd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Serum Creatinine in mg/dL. Female GFR is reduced by 15% of the above calculated value for males.</w:t>
            </w:r>
          </w:p>
        </w:tc>
      </w:tr>
      <w:tr w:rsidR="00DB7C28" w:rsidRPr="005D3885" w14:paraId="40F8080F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36D5BE73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Serum creatinine greater than site’s normal range</w:t>
            </w:r>
          </w:p>
        </w:tc>
      </w:tr>
      <w:tr w:rsidR="00DB7C28" w:rsidRPr="005D3885" w14:paraId="481DEC77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065A0FD4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Active gastrointestinal bleeding</w:t>
            </w:r>
          </w:p>
        </w:tc>
      </w:tr>
      <w:tr w:rsidR="00DB7C28" w:rsidRPr="005D3885" w14:paraId="4EC3D962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3F0570C4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Active infection or fever (&gt;100.5°F/38°C)</w:t>
            </w:r>
          </w:p>
        </w:tc>
      </w:tr>
      <w:tr w:rsidR="00DB7C28" w:rsidRPr="005D3885" w14:paraId="5F6C325C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4A7757B2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Sepsis</w:t>
            </w:r>
          </w:p>
        </w:tc>
      </w:tr>
      <w:tr w:rsidR="00DB7C28" w:rsidRPr="005D3885" w14:paraId="06992990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54D4E670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Cardiac surgery within the past two months</w:t>
            </w:r>
          </w:p>
        </w:tc>
      </w:tr>
      <w:tr w:rsidR="00DB7C28" w:rsidRPr="005D3885" w14:paraId="6513DA09" w14:textId="77777777" w:rsidTr="00515605">
        <w:trPr>
          <w:trHeight w:val="720"/>
        </w:trPr>
        <w:tc>
          <w:tcPr>
            <w:tcW w:w="9016" w:type="dxa"/>
            <w:vAlign w:val="center"/>
          </w:tcPr>
          <w:p w14:paraId="3CDC28BE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Exposure to contrast medium ≥7 days prior to catheter ablation (this timeframe can be shorter if PI considers it safe to perform the ablation in &lt;7 days)</w:t>
            </w:r>
          </w:p>
        </w:tc>
      </w:tr>
      <w:tr w:rsidR="00DB7C28" w:rsidRPr="005D3885" w14:paraId="39DD0099" w14:textId="77777777" w:rsidTr="00515605">
        <w:trPr>
          <w:trHeight w:val="720"/>
        </w:trPr>
        <w:tc>
          <w:tcPr>
            <w:tcW w:w="9016" w:type="dxa"/>
            <w:vAlign w:val="center"/>
          </w:tcPr>
          <w:p w14:paraId="45A08361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Short life expectancy (&lt;1 yr) due to other illnesses, such as cancer or pulmonary, hepatic, or renal disease</w:t>
            </w:r>
          </w:p>
        </w:tc>
      </w:tr>
      <w:tr w:rsidR="00DB7C28" w:rsidRPr="005D3885" w14:paraId="5BCFA710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6E6CB7AF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Significant </w:t>
            </w:r>
            <w:proofErr w:type="spellStart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anemia</w:t>
            </w:r>
            <w:proofErr w:type="spellEnd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&lt;10.0 g/dL/100 g/L</w:t>
            </w: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B7C28" w:rsidRPr="005D3885" w14:paraId="3383B621" w14:textId="77777777" w:rsidTr="00515605">
        <w:trPr>
          <w:trHeight w:val="720"/>
        </w:trPr>
        <w:tc>
          <w:tcPr>
            <w:tcW w:w="9016" w:type="dxa"/>
            <w:vAlign w:val="center"/>
          </w:tcPr>
          <w:p w14:paraId="4848FFA2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Severe uncontrolled systemic hypertension (systolic pressure &gt; 240 mmHg within the last 30 days</w:t>
            </w:r>
          </w:p>
        </w:tc>
      </w:tr>
      <w:tr w:rsidR="00DB7C28" w:rsidRPr="005D3885" w14:paraId="0E0901A4" w14:textId="77777777" w:rsidTr="00515605">
        <w:trPr>
          <w:trHeight w:val="720"/>
        </w:trPr>
        <w:tc>
          <w:tcPr>
            <w:tcW w:w="9016" w:type="dxa"/>
            <w:vAlign w:val="center"/>
          </w:tcPr>
          <w:p w14:paraId="5EEEE661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Documented anaphylaxis during previous exposure to angiographic contrast media (if contrast media not required patient meets eligibility)</w:t>
            </w:r>
          </w:p>
        </w:tc>
      </w:tr>
      <w:tr w:rsidR="00DB7C28" w:rsidRPr="005D3885" w14:paraId="698B0369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0A90A15C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Uncontrolled congestive heart failure (NYHA Class III or IV)</w:t>
            </w:r>
          </w:p>
        </w:tc>
      </w:tr>
      <w:tr w:rsidR="00DB7C28" w:rsidRPr="005D3885" w14:paraId="73FA1892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150ECDCE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Unstable angina or acute myocardial infarction within the past three months</w:t>
            </w:r>
          </w:p>
        </w:tc>
      </w:tr>
      <w:tr w:rsidR="00DB7C28" w:rsidRPr="005D3885" w14:paraId="3EE0B569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5C8D96D8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Bleeding, clotting disorders, or known thrombosis</w:t>
            </w:r>
          </w:p>
        </w:tc>
      </w:tr>
      <w:tr w:rsidR="00DB7C28" w:rsidRPr="005D3885" w14:paraId="7F800D36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4D9C47EC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Severe peripheral vascular disease</w:t>
            </w:r>
          </w:p>
        </w:tc>
      </w:tr>
      <w:tr w:rsidR="00DB7C28" w:rsidRPr="005D3885" w14:paraId="68F8D5C4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6E87C0B5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Uncontrolled diabetes</w:t>
            </w:r>
          </w:p>
        </w:tc>
      </w:tr>
      <w:tr w:rsidR="00DB7C28" w:rsidRPr="005D3885" w14:paraId="49F9E3FA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2D2D9D57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Rheumatic heart disease</w:t>
            </w:r>
          </w:p>
        </w:tc>
      </w:tr>
      <w:tr w:rsidR="00DB7C28" w:rsidRPr="005D3885" w14:paraId="64989EBC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12ABD1B4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Heart valve replacement</w:t>
            </w:r>
          </w:p>
        </w:tc>
      </w:tr>
      <w:tr w:rsidR="00DB7C28" w:rsidRPr="005D3885" w14:paraId="1DC12513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4E0E82EA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Mitral clip</w:t>
            </w:r>
          </w:p>
        </w:tc>
      </w:tr>
      <w:tr w:rsidR="00DB7C28" w:rsidRPr="005D3885" w14:paraId="5068EDED" w14:textId="77777777" w:rsidTr="00515605">
        <w:trPr>
          <w:trHeight w:val="720"/>
        </w:trPr>
        <w:tc>
          <w:tcPr>
            <w:tcW w:w="9016" w:type="dxa"/>
            <w:vAlign w:val="center"/>
          </w:tcPr>
          <w:p w14:paraId="15B80A1E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Women who are of childbearing potential who are currently pregnant or not willing to use contraception for the duration of the study</w:t>
            </w:r>
          </w:p>
        </w:tc>
      </w:tr>
      <w:tr w:rsidR="00DB7C28" w:rsidRPr="005D3885" w14:paraId="145938F8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647C6C72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Active participation in another investigational protocol currently or the last 30 days</w:t>
            </w:r>
          </w:p>
        </w:tc>
      </w:tr>
      <w:tr w:rsidR="00DB7C28" w:rsidRPr="005D3885" w14:paraId="039B31E8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3DEB369E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Unable or unwilling to take anti-coagulants</w:t>
            </w:r>
          </w:p>
        </w:tc>
      </w:tr>
      <w:tr w:rsidR="00DB7C28" w:rsidRPr="005D3885" w14:paraId="7B21BA4A" w14:textId="77777777" w:rsidTr="00515605">
        <w:trPr>
          <w:trHeight w:val="576"/>
        </w:trPr>
        <w:tc>
          <w:tcPr>
            <w:tcW w:w="9016" w:type="dxa"/>
            <w:tcBorders>
              <w:bottom w:val="single" w:sz="4" w:space="0" w:color="auto"/>
            </w:tcBorders>
            <w:vAlign w:val="center"/>
          </w:tcPr>
          <w:p w14:paraId="73D630F9" w14:textId="77777777" w:rsidR="00DB7C28" w:rsidRPr="005D3885" w:rsidRDefault="00DB7C28" w:rsidP="00DB7C28">
            <w:pPr>
              <w:spacing w:line="240" w:lineRule="auto"/>
              <w:ind w:left="5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Unwilling or unable to comply with any protocol or follow-up requirements</w:t>
            </w:r>
          </w:p>
        </w:tc>
      </w:tr>
    </w:tbl>
    <w:p w14:paraId="57F49035" w14:textId="77777777" w:rsidR="00DB7C28" w:rsidRPr="005D3885" w:rsidRDefault="00DB7C28" w:rsidP="00DB7C28">
      <w:pPr>
        <w:rPr>
          <w:rFonts w:ascii="Times New Roman" w:eastAsia="Aptos" w:hAnsi="Times New Roman" w:cs="Times New Roman"/>
          <w:sz w:val="24"/>
          <w:szCs w:val="24"/>
        </w:rPr>
      </w:pPr>
      <w:proofErr w:type="gramStart"/>
      <w:r w:rsidRPr="005D3885">
        <w:rPr>
          <w:rFonts w:ascii="Times New Roman" w:eastAsia="Aptos" w:hAnsi="Times New Roman" w:cs="Times New Roman"/>
          <w:sz w:val="24"/>
          <w:szCs w:val="24"/>
          <w:vertAlign w:val="superscript"/>
        </w:rPr>
        <w:t>a</w:t>
      </w:r>
      <w:proofErr w:type="gramEnd"/>
      <w:r w:rsidRPr="005D3885">
        <w:rPr>
          <w:rFonts w:ascii="Times New Roman" w:eastAsia="Aptos" w:hAnsi="Times New Roman" w:cs="Times New Roman"/>
          <w:sz w:val="24"/>
          <w:szCs w:val="24"/>
        </w:rPr>
        <w:t xml:space="preserve"> AF = atrial fibrillation; ECG = electrocardiogram; NYHA = New York Heart Association; PI = principal investigator</w:t>
      </w:r>
    </w:p>
    <w:p w14:paraId="5C4D2DAC" w14:textId="77777777" w:rsidR="00DB7C28" w:rsidRPr="005D3885" w:rsidRDefault="00DB7C28" w:rsidP="00DB7C28">
      <w:pPr>
        <w:rPr>
          <w:rFonts w:ascii="Times New Roman" w:eastAsia="Aptos" w:hAnsi="Times New Roman" w:cs="Times New Roman"/>
          <w:sz w:val="24"/>
          <w:szCs w:val="24"/>
        </w:rPr>
      </w:pPr>
      <w:r w:rsidRPr="005D3885">
        <w:rPr>
          <w:rFonts w:ascii="Times New Roman" w:eastAsia="Aptos" w:hAnsi="Times New Roman" w:cs="Times New Roman"/>
          <w:sz w:val="24"/>
          <w:szCs w:val="24"/>
          <w:vertAlign w:val="superscript"/>
        </w:rPr>
        <w:t>b</w:t>
      </w:r>
      <w:r w:rsidRPr="005D3885">
        <w:rPr>
          <w:rFonts w:ascii="Times New Roman" w:eastAsia="Aptos" w:hAnsi="Times New Roman" w:cs="Times New Roman"/>
          <w:sz w:val="24"/>
          <w:szCs w:val="24"/>
        </w:rPr>
        <w:t xml:space="preserve"> Value based on most recent result</w:t>
      </w:r>
    </w:p>
    <w:p w14:paraId="1466D1A5" w14:textId="003AE7C8" w:rsidR="008A2FEC" w:rsidRPr="005D3885" w:rsidRDefault="008A2FEC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5D3885">
        <w:rPr>
          <w:rFonts w:ascii="Times New Roman" w:hAnsi="Times New Roman" w:cs="Times New Roman"/>
          <w:sz w:val="24"/>
          <w:szCs w:val="24"/>
        </w:rPr>
        <w:br w:type="page"/>
      </w:r>
    </w:p>
    <w:p w14:paraId="7DCAD224" w14:textId="09B178DA" w:rsidR="00655DA4" w:rsidRPr="005D3885" w:rsidRDefault="00655DA4" w:rsidP="00655DA4">
      <w:pPr>
        <w:rPr>
          <w:rFonts w:ascii="Times New Roman" w:eastAsia="Aptos" w:hAnsi="Times New Roman" w:cs="Times New Roman"/>
          <w:sz w:val="24"/>
          <w:szCs w:val="24"/>
          <w:vertAlign w:val="superscript"/>
        </w:rPr>
      </w:pPr>
      <w:r w:rsidRPr="005D3885">
        <w:rPr>
          <w:rFonts w:ascii="Times New Roman" w:eastAsia="Aptos" w:hAnsi="Times New Roman" w:cs="Times New Roman"/>
          <w:sz w:val="24"/>
          <w:szCs w:val="24"/>
        </w:rPr>
        <w:lastRenderedPageBreak/>
        <w:t xml:space="preserve">Supplemental Table 3. Data Parameters Collected for Each </w:t>
      </w:r>
      <w:proofErr w:type="spellStart"/>
      <w:r w:rsidRPr="005D3885">
        <w:rPr>
          <w:rFonts w:ascii="Times New Roman" w:eastAsia="Aptos" w:hAnsi="Times New Roman" w:cs="Times New Roman"/>
          <w:sz w:val="24"/>
          <w:szCs w:val="24"/>
        </w:rPr>
        <w:t>Procedure</w:t>
      </w:r>
      <w:r w:rsidRPr="005D3885">
        <w:rPr>
          <w:rFonts w:ascii="Times New Roman" w:eastAsia="Aptos" w:hAnsi="Times New Roman" w:cs="Times New Roman"/>
          <w:sz w:val="24"/>
          <w:szCs w:val="24"/>
          <w:vertAlign w:val="superscript"/>
        </w:rPr>
        <w:t>a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55DA4" w:rsidRPr="005D3885" w14:paraId="5AEAB074" w14:textId="77777777" w:rsidTr="00515605">
        <w:trPr>
          <w:trHeight w:val="576"/>
        </w:trPr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CAE61" w14:textId="77777777" w:rsidR="00655DA4" w:rsidRPr="005D3885" w:rsidRDefault="00655DA4" w:rsidP="00655DA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Parameters</w:t>
            </w:r>
          </w:p>
        </w:tc>
      </w:tr>
      <w:tr w:rsidR="00655DA4" w:rsidRPr="005D3885" w14:paraId="6AC78F76" w14:textId="77777777" w:rsidTr="00515605">
        <w:trPr>
          <w:trHeight w:val="576"/>
        </w:trPr>
        <w:tc>
          <w:tcPr>
            <w:tcW w:w="9016" w:type="dxa"/>
            <w:tcBorders>
              <w:top w:val="single" w:sz="4" w:space="0" w:color="auto"/>
            </w:tcBorders>
            <w:vAlign w:val="center"/>
          </w:tcPr>
          <w:p w14:paraId="78803D96" w14:textId="77777777" w:rsidR="00655DA4" w:rsidRPr="005D3885" w:rsidRDefault="00655DA4" w:rsidP="00655DA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Catheter Identification</w:t>
            </w:r>
          </w:p>
        </w:tc>
      </w:tr>
      <w:tr w:rsidR="00655DA4" w:rsidRPr="005D3885" w14:paraId="5DFBAF19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04D79855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Model number</w:t>
            </w:r>
          </w:p>
        </w:tc>
      </w:tr>
      <w:tr w:rsidR="00655DA4" w:rsidRPr="005D3885" w14:paraId="135D257C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1B793118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Lot/serial number</w:t>
            </w:r>
          </w:p>
        </w:tc>
      </w:tr>
      <w:tr w:rsidR="00655DA4" w:rsidRPr="005D3885" w14:paraId="30F11534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7773CFA0" w14:textId="77777777" w:rsidR="00655DA4" w:rsidRPr="005D3885" w:rsidRDefault="00655DA4" w:rsidP="00655DA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Procedural Data</w:t>
            </w:r>
          </w:p>
        </w:tc>
      </w:tr>
      <w:tr w:rsidR="00655DA4" w:rsidRPr="005D3885" w14:paraId="12C5D6E8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2BC72AE8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PFA generator treatment recipe</w:t>
            </w:r>
          </w:p>
        </w:tc>
      </w:tr>
      <w:tr w:rsidR="00655DA4" w:rsidRPr="005D3885" w14:paraId="7FF487A9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4AD246D7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Total number of PFA applications per vein</w:t>
            </w:r>
          </w:p>
        </w:tc>
      </w:tr>
      <w:tr w:rsidR="00655DA4" w:rsidRPr="005D3885" w14:paraId="5D2546B2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63054B43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Overall total number of PFA applications</w:t>
            </w:r>
          </w:p>
        </w:tc>
      </w:tr>
      <w:tr w:rsidR="00655DA4" w:rsidRPr="005D3885" w14:paraId="36A8322B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7A15F014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Total PFA time during the procedure</w:t>
            </w:r>
          </w:p>
        </w:tc>
      </w:tr>
      <w:tr w:rsidR="00655DA4" w:rsidRPr="005D3885" w14:paraId="2F5F2E07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6D995BAF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Mapping time</w:t>
            </w:r>
          </w:p>
        </w:tc>
      </w:tr>
      <w:tr w:rsidR="00655DA4" w:rsidRPr="005D3885" w14:paraId="47ACB0E5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71759A48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Fluoroscopy time</w:t>
            </w:r>
          </w:p>
        </w:tc>
      </w:tr>
      <w:tr w:rsidR="00655DA4" w:rsidRPr="005D3885" w14:paraId="1018D395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470B1B08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Procedure time (first catheter inserted to last catheter removed)</w:t>
            </w:r>
          </w:p>
        </w:tc>
      </w:tr>
      <w:tr w:rsidR="00655DA4" w:rsidRPr="005D3885" w14:paraId="0E1B02C2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2379AE28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Impedance values during the procedure (Ω)</w:t>
            </w:r>
          </w:p>
        </w:tc>
      </w:tr>
      <w:tr w:rsidR="00655DA4" w:rsidRPr="005D3885" w14:paraId="31EDDB69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3D45983B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Activated Clotting Time levels and times taken</w:t>
            </w:r>
          </w:p>
        </w:tc>
      </w:tr>
      <w:tr w:rsidR="00655DA4" w:rsidRPr="005D3885" w14:paraId="6730DD0F" w14:textId="77777777" w:rsidTr="00515605">
        <w:trPr>
          <w:trHeight w:val="576"/>
        </w:trPr>
        <w:tc>
          <w:tcPr>
            <w:tcW w:w="9016" w:type="dxa"/>
            <w:vAlign w:val="center"/>
          </w:tcPr>
          <w:p w14:paraId="0D072C08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Ablation locations</w:t>
            </w:r>
          </w:p>
        </w:tc>
      </w:tr>
      <w:tr w:rsidR="00655DA4" w:rsidRPr="005D3885" w14:paraId="2DEF4795" w14:textId="77777777" w:rsidTr="00515605">
        <w:trPr>
          <w:trHeight w:val="576"/>
        </w:trPr>
        <w:tc>
          <w:tcPr>
            <w:tcW w:w="9016" w:type="dxa"/>
            <w:tcBorders>
              <w:bottom w:val="single" w:sz="4" w:space="0" w:color="auto"/>
            </w:tcBorders>
            <w:vAlign w:val="center"/>
          </w:tcPr>
          <w:p w14:paraId="589D8474" w14:textId="77777777" w:rsidR="00655DA4" w:rsidRPr="005D3885" w:rsidRDefault="00655DA4" w:rsidP="00655DA4">
            <w:pPr>
              <w:spacing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885">
              <w:rPr>
                <w:rFonts w:ascii="Times New Roman" w:eastAsia="Times New Roman" w:hAnsi="Times New Roman" w:cs="Times New Roman"/>
                <w:sz w:val="24"/>
                <w:szCs w:val="24"/>
              </w:rPr>
              <w:t>Presence of char or coagulum formation and incidence(s) of steam pops</w:t>
            </w:r>
          </w:p>
        </w:tc>
      </w:tr>
    </w:tbl>
    <w:p w14:paraId="4F99F91E" w14:textId="77777777" w:rsidR="00655DA4" w:rsidRPr="005D3885" w:rsidRDefault="00655DA4" w:rsidP="00655DA4">
      <w:pPr>
        <w:rPr>
          <w:rFonts w:ascii="Times New Roman" w:eastAsia="Aptos" w:hAnsi="Times New Roman" w:cs="Times New Roman"/>
          <w:sz w:val="24"/>
          <w:szCs w:val="24"/>
        </w:rPr>
      </w:pPr>
      <w:r w:rsidRPr="005D3885">
        <w:rPr>
          <w:rFonts w:ascii="Times New Roman" w:eastAsia="Aptos" w:hAnsi="Times New Roman" w:cs="Times New Roman"/>
          <w:sz w:val="24"/>
          <w:szCs w:val="24"/>
          <w:vertAlign w:val="superscript"/>
        </w:rPr>
        <w:t>a</w:t>
      </w:r>
      <w:r w:rsidRPr="005D3885">
        <w:rPr>
          <w:rFonts w:ascii="Times New Roman" w:eastAsia="Aptos" w:hAnsi="Times New Roman" w:cs="Times New Roman"/>
          <w:sz w:val="24"/>
          <w:szCs w:val="24"/>
        </w:rPr>
        <w:t xml:space="preserve"> PFA = pulsed-field ablation</w:t>
      </w:r>
    </w:p>
    <w:p w14:paraId="6EDA9DB9" w14:textId="039BDD25" w:rsidR="001E4DB5" w:rsidRPr="005D3885" w:rsidRDefault="001E4DB5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5D3885">
        <w:rPr>
          <w:rFonts w:ascii="Times New Roman" w:hAnsi="Times New Roman" w:cs="Times New Roman"/>
          <w:sz w:val="24"/>
          <w:szCs w:val="24"/>
        </w:rPr>
        <w:br w:type="page"/>
      </w:r>
    </w:p>
    <w:p w14:paraId="2B88C1D0" w14:textId="456BAA16" w:rsidR="001E4DB5" w:rsidRPr="0079732E" w:rsidRDefault="001E4DB5" w:rsidP="009C3D8F">
      <w:pPr>
        <w:spacing w:line="480" w:lineRule="auto"/>
        <w:rPr>
          <w:rStyle w:val="eop"/>
          <w:rFonts w:ascii="Times New Roman" w:hAnsi="Times New Roman" w:cs="Times New Roman"/>
          <w:sz w:val="24"/>
          <w:szCs w:val="24"/>
        </w:rPr>
      </w:pPr>
      <w:r w:rsidRPr="00F0614B">
        <w:rPr>
          <w:rFonts w:ascii="Times New Roman" w:hAnsi="Times New Roman" w:cs="Times New Roman"/>
          <w:sz w:val="24"/>
          <w:szCs w:val="24"/>
        </w:rPr>
        <w:lastRenderedPageBreak/>
        <w:t>Supplemental Fig</w:t>
      </w:r>
      <w:r w:rsidR="00A07617">
        <w:rPr>
          <w:rFonts w:ascii="Times New Roman" w:hAnsi="Times New Roman" w:cs="Times New Roman"/>
          <w:sz w:val="24"/>
          <w:szCs w:val="24"/>
        </w:rPr>
        <w:t>.</w:t>
      </w:r>
      <w:r w:rsidRPr="00F0614B">
        <w:rPr>
          <w:rFonts w:ascii="Times New Roman" w:hAnsi="Times New Roman" w:cs="Times New Roman"/>
          <w:sz w:val="24"/>
          <w:szCs w:val="24"/>
        </w:rPr>
        <w:t xml:space="preserve"> 1</w:t>
      </w:r>
      <w:r w:rsidR="00933557" w:rsidRPr="00F0614B">
        <w:rPr>
          <w:rFonts w:ascii="Times New Roman" w:hAnsi="Times New Roman" w:cs="Times New Roman"/>
          <w:sz w:val="24"/>
          <w:szCs w:val="24"/>
        </w:rPr>
        <w:t xml:space="preserve">. </w:t>
      </w:r>
      <w:r w:rsidR="004C29E1" w:rsidRPr="00F0614B">
        <w:rPr>
          <w:rFonts w:ascii="Times New Roman" w:hAnsi="Times New Roman" w:cs="Times New Roman"/>
          <w:sz w:val="24"/>
          <w:szCs w:val="24"/>
        </w:rPr>
        <w:t xml:space="preserve">Relationship between PFA dose and </w:t>
      </w:r>
      <w:proofErr w:type="spellStart"/>
      <w:r w:rsidR="00F71356" w:rsidRPr="00F0614B">
        <w:rPr>
          <w:rFonts w:ascii="Times New Roman" w:hAnsi="Times New Roman" w:cs="Times New Roman"/>
          <w:sz w:val="24"/>
          <w:szCs w:val="24"/>
        </w:rPr>
        <w:t>hemolysis</w:t>
      </w:r>
      <w:proofErr w:type="spellEnd"/>
      <w:r w:rsidR="0079732E" w:rsidRPr="00F0614B">
        <w:rPr>
          <w:rFonts w:ascii="Times New Roman" w:hAnsi="Times New Roman" w:cs="Times New Roman"/>
          <w:sz w:val="24"/>
          <w:szCs w:val="24"/>
        </w:rPr>
        <w:t xml:space="preserve"> levels. </w:t>
      </w:r>
      <w:r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>An animal study was performed during the course of th</w:t>
      </w:r>
      <w:r w:rsidR="009C3D8F"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 xml:space="preserve">e </w:t>
      </w:r>
      <w:r w:rsidR="00F0614B"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>first-in-human</w:t>
      </w:r>
      <w:r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 xml:space="preserve"> study </w:t>
      </w:r>
      <w:r w:rsidR="0079732E"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>to understand</w:t>
      </w:r>
      <w:r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 xml:space="preserve"> the relationship between the PFA dose and hemolysis levels (as described by </w:t>
      </w:r>
      <w:r w:rsidR="00F71356"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 xml:space="preserve">(a) </w:t>
      </w:r>
      <w:r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 xml:space="preserve">plasma-free hemoglobin [PFH] and </w:t>
      </w:r>
      <w:r w:rsidR="00F71356"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 xml:space="preserve">(b) </w:t>
      </w:r>
      <w:r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 xml:space="preserve">lactate dehydrogenase [LDH]). Swine #1 was ablated by delivering 8 “high-dose” PFA treatments without hydration. Swine #2 was ablated by delivering 16 “medium-dose” PFA treatments with 200 mL/h hydration. PFH and LDH were measured at baseline and after each treatment. </w:t>
      </w:r>
      <w:r w:rsidR="00B71F17"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>Supplemental Figure 4</w:t>
      </w:r>
      <w:r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 xml:space="preserve"> illustrates that despite the larger number of PFA treatments, </w:t>
      </w:r>
      <w:r w:rsidR="00B71F17"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>s</w:t>
      </w:r>
      <w:r w:rsidRPr="00F0614B">
        <w:rPr>
          <w:rStyle w:val="eop"/>
          <w:rFonts w:ascii="Times New Roman" w:eastAsiaTheme="majorEastAsia" w:hAnsi="Times New Roman" w:cs="Times New Roman"/>
          <w:sz w:val="24"/>
          <w:szCs w:val="24"/>
          <w:lang w:val="en-US"/>
        </w:rPr>
        <w:t>wine #2 experienced lower PFH and LDH levels suggesting a likely safer strategy.</w:t>
      </w:r>
      <w:r w:rsidRPr="005D388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BDE8BE" wp14:editId="6A969757">
            <wp:extent cx="5731510" cy="3202940"/>
            <wp:effectExtent l="0" t="0" r="2540" b="16510"/>
            <wp:docPr id="211231322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5103C77-71D9-CBB7-5075-A4865BFCB6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5D38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38C809" wp14:editId="535EDC88">
            <wp:extent cx="5731510" cy="2777490"/>
            <wp:effectExtent l="0" t="0" r="2540" b="3810"/>
            <wp:docPr id="9550770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2E9827B-194D-3318-B2A2-57488CFC46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D7F8466" w14:textId="51C59904" w:rsidR="00F0614B" w:rsidRDefault="00F0614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5D6B63" w14:textId="287334FC" w:rsidR="00115F0E" w:rsidRPr="00A51CA4" w:rsidRDefault="00F0614B" w:rsidP="00115F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Fig</w:t>
      </w:r>
      <w:r w:rsidR="00A076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D01447">
        <w:rPr>
          <w:rFonts w:ascii="Times New Roman" w:hAnsi="Times New Roman" w:cs="Times New Roman"/>
          <w:sz w:val="24"/>
          <w:szCs w:val="24"/>
        </w:rPr>
        <w:t xml:space="preserve"> </w:t>
      </w:r>
      <w:r w:rsidR="00115F0E" w:rsidRPr="00A51CA4">
        <w:rPr>
          <w:rFonts w:ascii="Times New Roman" w:hAnsi="Times New Roman" w:cs="Times New Roman"/>
          <w:sz w:val="24"/>
          <w:szCs w:val="24"/>
        </w:rPr>
        <w:t xml:space="preserve">Impedance Contact Information for each PFA electrode. (a) </w:t>
      </w:r>
      <w:r w:rsidR="00115F0E">
        <w:rPr>
          <w:rFonts w:ascii="Times New Roman" w:hAnsi="Times New Roman" w:cs="Times New Roman"/>
          <w:sz w:val="24"/>
          <w:szCs w:val="24"/>
        </w:rPr>
        <w:t>illustrates an example of an</w:t>
      </w:r>
      <w:r w:rsidR="00115F0E" w:rsidRPr="00A51CA4">
        <w:rPr>
          <w:rFonts w:ascii="Times New Roman" w:hAnsi="Times New Roman" w:cs="Times New Roman"/>
          <w:sz w:val="24"/>
          <w:szCs w:val="24"/>
        </w:rPr>
        <w:t xml:space="preserve"> impedance trend in a durable PVI; (b) </w:t>
      </w:r>
      <w:r w:rsidR="00B37B9D">
        <w:rPr>
          <w:rFonts w:ascii="Times New Roman" w:hAnsi="Times New Roman" w:cs="Times New Roman"/>
          <w:sz w:val="24"/>
          <w:szCs w:val="24"/>
        </w:rPr>
        <w:t>exemplifies an</w:t>
      </w:r>
      <w:r w:rsidR="00115F0E" w:rsidRPr="00A51CA4">
        <w:rPr>
          <w:rFonts w:ascii="Times New Roman" w:hAnsi="Times New Roman" w:cs="Times New Roman"/>
          <w:sz w:val="24"/>
          <w:szCs w:val="24"/>
        </w:rPr>
        <w:t xml:space="preserve"> impedance trend in a PV that had reconnected.</w:t>
      </w:r>
    </w:p>
    <w:p w14:paraId="5DED806B" w14:textId="77777777" w:rsidR="00115F0E" w:rsidRPr="00A51CA4" w:rsidRDefault="00115F0E" w:rsidP="00115F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1C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DC1FE6" wp14:editId="46C0AD92">
            <wp:extent cx="5731510" cy="3168015"/>
            <wp:effectExtent l="0" t="0" r="2540" b="0"/>
            <wp:docPr id="394887543" name="Picture 1" descr="A graph of blue bar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87543" name="Picture 1" descr="A graph of blue bars with number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1CA4">
        <w:rPr>
          <w:rFonts w:ascii="Times New Roman" w:hAnsi="Times New Roman" w:cs="Times New Roman"/>
          <w:sz w:val="24"/>
          <w:szCs w:val="24"/>
        </w:rPr>
        <w:t xml:space="preserve"> (a)</w:t>
      </w:r>
    </w:p>
    <w:p w14:paraId="248C04D9" w14:textId="76513B74" w:rsidR="00D7353F" w:rsidRPr="005D3885" w:rsidRDefault="00115F0E" w:rsidP="00E54D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1C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CF8CFC" wp14:editId="7D607C4E">
            <wp:extent cx="5731510" cy="3147060"/>
            <wp:effectExtent l="0" t="0" r="2540" b="0"/>
            <wp:docPr id="245254565" name="Picture 1" descr="A graph of blue bars with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54565" name="Picture 1" descr="A graph of blue bars with red dot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1CA4">
        <w:rPr>
          <w:rFonts w:ascii="Times New Roman" w:hAnsi="Times New Roman" w:cs="Times New Roman"/>
          <w:sz w:val="24"/>
          <w:szCs w:val="24"/>
        </w:rPr>
        <w:t xml:space="preserve"> (b)</w:t>
      </w:r>
    </w:p>
    <w:sectPr w:rsidR="00D7353F" w:rsidRPr="005D3885" w:rsidSect="008A2FE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3F"/>
    <w:rsid w:val="00115F0E"/>
    <w:rsid w:val="001E4DB5"/>
    <w:rsid w:val="00285DBB"/>
    <w:rsid w:val="002A484C"/>
    <w:rsid w:val="002F1BBD"/>
    <w:rsid w:val="004C29E1"/>
    <w:rsid w:val="00584EC2"/>
    <w:rsid w:val="005D3885"/>
    <w:rsid w:val="00655DA4"/>
    <w:rsid w:val="0079732E"/>
    <w:rsid w:val="00872494"/>
    <w:rsid w:val="008A2FEC"/>
    <w:rsid w:val="00933557"/>
    <w:rsid w:val="009C3D8F"/>
    <w:rsid w:val="009E4D9C"/>
    <w:rsid w:val="00A07617"/>
    <w:rsid w:val="00B37B9D"/>
    <w:rsid w:val="00B71F17"/>
    <w:rsid w:val="00C509F0"/>
    <w:rsid w:val="00D01447"/>
    <w:rsid w:val="00D020F9"/>
    <w:rsid w:val="00D7353F"/>
    <w:rsid w:val="00DB7C28"/>
    <w:rsid w:val="00E54DA8"/>
    <w:rsid w:val="00F0614B"/>
    <w:rsid w:val="00F2471E"/>
    <w:rsid w:val="00F7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0913C"/>
  <w15:chartTrackingRefBased/>
  <w15:docId w15:val="{67B23A5C-03AF-4398-AF6A-8631C920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D9C"/>
    <w:pPr>
      <w:spacing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5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5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5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5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5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53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53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53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53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5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5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5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5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5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5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5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5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5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73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53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73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53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735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53F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D735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5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5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5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E4D9C"/>
    <w:pPr>
      <w:spacing w:after="0" w:line="240" w:lineRule="auto"/>
    </w:pPr>
    <w:rPr>
      <w:rFonts w:eastAsiaTheme="minorEastAsia"/>
      <w:sz w:val="22"/>
      <w:szCs w:val="22"/>
      <w:lang w:val="en-AU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E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ko-KR"/>
    </w:rPr>
  </w:style>
  <w:style w:type="character" w:customStyle="1" w:styleId="eop">
    <w:name w:val="eop"/>
    <w:basedOn w:val="DefaultParagraphFont"/>
    <w:rsid w:val="001E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ieee\Biotronik\clinical\Electroporation\forDorin\CRC%20EP\HRS2026\Paul's%20paper\10-23-2023%20%20BPF.09.20%20PFH_DP_v2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ieee\Biotronik\clinical\Electroporation\forDorin\CRC%20EP\HRS2026\Paul's%20paper\10-23-2023%20%20BPF.09.20%20PFH_DP_v2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PFH: High vs Medium-dose treatments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PFH_medium_dose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Sheet1!$H$8:$X$8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xVal>
          <c:yVal>
            <c:numRef>
              <c:f>Sheet1!$H$9:$X$9</c:f>
              <c:numCache>
                <c:formatCode>General</c:formatCode>
                <c:ptCount val="17"/>
                <c:pt idx="0">
                  <c:v>3</c:v>
                </c:pt>
                <c:pt idx="1">
                  <c:v>78</c:v>
                </c:pt>
                <c:pt idx="2">
                  <c:v>111</c:v>
                </c:pt>
                <c:pt idx="3">
                  <c:v>195</c:v>
                </c:pt>
                <c:pt idx="4">
                  <c:v>66</c:v>
                </c:pt>
                <c:pt idx="5">
                  <c:v>102</c:v>
                </c:pt>
                <c:pt idx="6">
                  <c:v>210</c:v>
                </c:pt>
                <c:pt idx="7">
                  <c:v>237</c:v>
                </c:pt>
                <c:pt idx="8">
                  <c:v>72</c:v>
                </c:pt>
                <c:pt idx="9">
                  <c:v>84</c:v>
                </c:pt>
                <c:pt idx="10">
                  <c:v>84</c:v>
                </c:pt>
                <c:pt idx="11">
                  <c:v>120</c:v>
                </c:pt>
                <c:pt idx="12">
                  <c:v>126</c:v>
                </c:pt>
                <c:pt idx="13">
                  <c:v>174</c:v>
                </c:pt>
                <c:pt idx="14">
                  <c:v>186</c:v>
                </c:pt>
                <c:pt idx="15">
                  <c:v>204</c:v>
                </c:pt>
                <c:pt idx="16">
                  <c:v>222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E51-4465-8385-79859BA562CE}"/>
            </c:ext>
          </c:extLst>
        </c:ser>
        <c:ser>
          <c:idx val="1"/>
          <c:order val="1"/>
          <c:tx>
            <c:strRef>
              <c:f>Sheet1!$G$10</c:f>
              <c:strCache>
                <c:ptCount val="1"/>
                <c:pt idx="0">
                  <c:v>PFH_high_dose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Sheet1!$H$8:$P$8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xVal>
          <c:yVal>
            <c:numRef>
              <c:f>Sheet1!$H$10:$P$10</c:f>
              <c:numCache>
                <c:formatCode>General</c:formatCode>
                <c:ptCount val="9"/>
                <c:pt idx="0">
                  <c:v>2</c:v>
                </c:pt>
                <c:pt idx="1">
                  <c:v>54</c:v>
                </c:pt>
                <c:pt idx="2">
                  <c:v>54</c:v>
                </c:pt>
                <c:pt idx="3">
                  <c:v>96</c:v>
                </c:pt>
                <c:pt idx="4">
                  <c:v>144</c:v>
                </c:pt>
                <c:pt idx="5">
                  <c:v>168</c:v>
                </c:pt>
                <c:pt idx="6">
                  <c:v>234</c:v>
                </c:pt>
                <c:pt idx="7">
                  <c:v>336</c:v>
                </c:pt>
                <c:pt idx="8">
                  <c:v>366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E51-4465-8385-79859BA562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2853704"/>
        <c:axId val="1"/>
      </c:scatterChart>
      <c:valAx>
        <c:axId val="502853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PFA</a:t>
                </a:r>
                <a:r>
                  <a:rPr lang="en-US" baseline="0"/>
                  <a:t> shot#</a:t>
                </a: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PFH [mg/dL]</a:t>
                </a:r>
              </a:p>
              <a:p>
                <a:pPr>
                  <a:defRPr/>
                </a:pP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2853704"/>
        <c:crosses val="autoZero"/>
        <c:crossBetween val="midCat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LDH: High vs Medium-dose treatments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Sheet1!$G$11</c:f>
              <c:strCache>
                <c:ptCount val="1"/>
                <c:pt idx="0">
                  <c:v>LDH_medium_dose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Sheet1!$H$8:$X$8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xVal>
          <c:yVal>
            <c:numRef>
              <c:f>Sheet1!$H$11:$X$11</c:f>
              <c:numCache>
                <c:formatCode>General</c:formatCode>
                <c:ptCount val="17"/>
                <c:pt idx="0">
                  <c:v>257</c:v>
                </c:pt>
                <c:pt idx="1">
                  <c:v>339</c:v>
                </c:pt>
                <c:pt idx="2">
                  <c:v>347</c:v>
                </c:pt>
                <c:pt idx="3">
                  <c:v>369</c:v>
                </c:pt>
                <c:pt idx="4">
                  <c:v>374</c:v>
                </c:pt>
                <c:pt idx="5">
                  <c:v>410</c:v>
                </c:pt>
                <c:pt idx="6">
                  <c:v>406</c:v>
                </c:pt>
                <c:pt idx="7">
                  <c:v>407</c:v>
                </c:pt>
                <c:pt idx="8">
                  <c:v>406</c:v>
                </c:pt>
                <c:pt idx="9">
                  <c:v>412</c:v>
                </c:pt>
                <c:pt idx="10">
                  <c:v>397</c:v>
                </c:pt>
                <c:pt idx="11">
                  <c:v>413</c:v>
                </c:pt>
                <c:pt idx="12">
                  <c:v>432</c:v>
                </c:pt>
                <c:pt idx="13">
                  <c:v>464</c:v>
                </c:pt>
                <c:pt idx="14">
                  <c:v>462</c:v>
                </c:pt>
                <c:pt idx="15">
                  <c:v>480</c:v>
                </c:pt>
                <c:pt idx="16">
                  <c:v>470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6AD5-4FC9-8797-18D66ACA890F}"/>
            </c:ext>
          </c:extLst>
        </c:ser>
        <c:ser>
          <c:idx val="1"/>
          <c:order val="1"/>
          <c:tx>
            <c:strRef>
              <c:f>Sheet1!$G$12</c:f>
              <c:strCache>
                <c:ptCount val="1"/>
                <c:pt idx="0">
                  <c:v>LDH_high_dose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Sheet1!$H$8:$P$8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xVal>
          <c:yVal>
            <c:numRef>
              <c:f>Sheet1!$H$12:$P$12</c:f>
              <c:numCache>
                <c:formatCode>General</c:formatCode>
                <c:ptCount val="9"/>
                <c:pt idx="0">
                  <c:v>337</c:v>
                </c:pt>
                <c:pt idx="1">
                  <c:v>491</c:v>
                </c:pt>
                <c:pt idx="2">
                  <c:v>542</c:v>
                </c:pt>
                <c:pt idx="3">
                  <c:v>516</c:v>
                </c:pt>
                <c:pt idx="4">
                  <c:v>489</c:v>
                </c:pt>
                <c:pt idx="5">
                  <c:v>555</c:v>
                </c:pt>
                <c:pt idx="6">
                  <c:v>603</c:v>
                </c:pt>
                <c:pt idx="7">
                  <c:v>650</c:v>
                </c:pt>
                <c:pt idx="8">
                  <c:v>679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AD5-4FC9-8797-18D66ACA89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2854424"/>
        <c:axId val="1"/>
      </c:scatterChart>
      <c:valAx>
        <c:axId val="502854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PFA shot #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LDH [U/L]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2854424"/>
        <c:crosses val="autoZero"/>
        <c:crossBetween val="midCat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790</Words>
  <Characters>4319</Characters>
  <Application>Microsoft Office Word</Application>
  <DocSecurity>0</DocSecurity>
  <Lines>107</Lines>
  <Paragraphs>53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Tran</dc:creator>
  <cp:keywords/>
  <dc:description/>
  <cp:lastModifiedBy>Paul Gould</cp:lastModifiedBy>
  <cp:revision>2</cp:revision>
  <dcterms:created xsi:type="dcterms:W3CDTF">2026-07-26T04:01:00Z</dcterms:created>
  <dcterms:modified xsi:type="dcterms:W3CDTF">2026-07-26T04:01:00Z</dcterms:modified>
</cp:coreProperties>
</file>