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676FD" w14:textId="15E3A339" w:rsidR="00274283" w:rsidRDefault="00274283" w:rsidP="00274283">
      <w:pPr>
        <w:jc w:val="center"/>
        <w:rPr>
          <w:rFonts w:ascii="Times New Roman" w:hAnsi="Times New Roman" w:cs="Times New Roman" w:hint="eastAsia"/>
          <w:b/>
          <w:bCs/>
          <w:sz w:val="28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32"/>
        </w:rPr>
        <w:t>S</w:t>
      </w:r>
      <w:r>
        <w:rPr>
          <w:rFonts w:ascii="Times New Roman" w:hAnsi="Times New Roman" w:cs="Times New Roman" w:hint="eastAsia"/>
          <w:b/>
          <w:bCs/>
          <w:sz w:val="28"/>
          <w:szCs w:val="32"/>
        </w:rPr>
        <w:t>upplement material</w:t>
      </w:r>
    </w:p>
    <w:p w14:paraId="2F35E1B8" w14:textId="506AF930" w:rsidR="00274283" w:rsidRDefault="00274283" w:rsidP="00274283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385C64">
        <w:rPr>
          <w:rFonts w:ascii="Times New Roman" w:hAnsi="Times New Roman" w:cs="Times New Roman"/>
          <w:b/>
          <w:bCs/>
          <w:sz w:val="28"/>
          <w:szCs w:val="32"/>
        </w:rPr>
        <w:t xml:space="preserve">Tenecteplase Versus Alteplase in Mild </w:t>
      </w:r>
      <w:proofErr w:type="spellStart"/>
      <w:r w:rsidRPr="00385C64">
        <w:rPr>
          <w:rFonts w:ascii="Times New Roman" w:hAnsi="Times New Roman" w:cs="Times New Roman"/>
          <w:b/>
          <w:bCs/>
          <w:sz w:val="28"/>
          <w:szCs w:val="32"/>
        </w:rPr>
        <w:t>Noncardioembolic</w:t>
      </w:r>
      <w:proofErr w:type="spellEnd"/>
      <w:r w:rsidRPr="00385C64">
        <w:rPr>
          <w:rFonts w:ascii="Times New Roman" w:hAnsi="Times New Roman" w:cs="Times New Roman"/>
          <w:b/>
          <w:bCs/>
          <w:sz w:val="28"/>
          <w:szCs w:val="32"/>
        </w:rPr>
        <w:t xml:space="preserve"> Stroke: Functional Outcomes and Early Neurological Deterioration</w:t>
      </w:r>
      <w:r>
        <w:rPr>
          <w:rFonts w:ascii="Times New Roman" w:hAnsi="Times New Roman" w:cs="Times New Roman" w:hint="eastAsia"/>
          <w:b/>
          <w:bCs/>
          <w:sz w:val="28"/>
          <w:szCs w:val="32"/>
        </w:rPr>
        <w:t xml:space="preserve"> </w:t>
      </w:r>
    </w:p>
    <w:p w14:paraId="41211321" w14:textId="77777777" w:rsidR="00274283" w:rsidRDefault="00274283" w:rsidP="00274283">
      <w:pPr>
        <w:widowControl/>
        <w:spacing w:before="240" w:after="240" w:line="480" w:lineRule="auto"/>
        <w:jc w:val="left"/>
        <w:rPr>
          <w:rFonts w:ascii="Times New Roman" w:eastAsia="等线" w:hAnsi="Times New Roman" w:cs="Times New Roman"/>
          <w:bCs/>
          <w:kern w:val="0"/>
          <w:sz w:val="24"/>
          <w:szCs w:val="24"/>
          <w:vertAlign w:val="superscript"/>
          <w:lang w:eastAsia="en-US"/>
        </w:rPr>
      </w:pPr>
      <w:proofErr w:type="spellStart"/>
      <w:r>
        <w:rPr>
          <w:rFonts w:ascii="Times New Roman" w:eastAsia="等线" w:hAnsi="Times New Roman" w:cs="Times New Roman" w:hint="eastAsia"/>
          <w:bCs/>
          <w:kern w:val="0"/>
          <w:sz w:val="24"/>
          <w:szCs w:val="24"/>
        </w:rPr>
        <w:t>Zongjie</w:t>
      </w:r>
      <w:proofErr w:type="spellEnd"/>
      <w:r>
        <w:rPr>
          <w:rFonts w:ascii="Times New Roman" w:eastAsia="等线" w:hAnsi="Times New Roman" w:cs="Times New Roman" w:hint="eastAsia"/>
          <w:bCs/>
          <w:kern w:val="0"/>
          <w:sz w:val="24"/>
          <w:szCs w:val="24"/>
        </w:rPr>
        <w:t xml:space="preserve"> Shi</w:t>
      </w:r>
      <w:r>
        <w:rPr>
          <w:rFonts w:ascii="Times New Roman" w:eastAsia="等线" w:hAnsi="Times New Roman" w:cs="Times New Roman" w:hint="eastAsia"/>
          <w:bCs/>
          <w:kern w:val="0"/>
          <w:sz w:val="24"/>
          <w:szCs w:val="24"/>
          <w:vertAlign w:val="superscript"/>
        </w:rPr>
        <w:t>a</w:t>
      </w:r>
      <w:r w:rsidRPr="005149FF">
        <w:rPr>
          <w:rFonts w:ascii="Times New Roman" w:eastAsia="等线" w:hAnsi="Times New Roman" w:cs="Times New Roman"/>
          <w:bCs/>
          <w:kern w:val="0"/>
          <w:sz w:val="24"/>
          <w:szCs w:val="24"/>
          <w:vertAlign w:val="superscript"/>
          <w:lang w:eastAsia="en-US"/>
        </w:rPr>
        <w:t>†</w:t>
      </w:r>
      <w:r w:rsidRPr="005149FF">
        <w:rPr>
          <w:rFonts w:ascii="Times New Roman" w:eastAsia="等线" w:hAnsi="Times New Roman" w:cs="Times New Roman"/>
          <w:bCs/>
          <w:kern w:val="0"/>
          <w:sz w:val="24"/>
          <w:szCs w:val="24"/>
          <w:lang w:eastAsia="en-US"/>
        </w:rPr>
        <w:t xml:space="preserve">, </w:t>
      </w:r>
      <w:r>
        <w:rPr>
          <w:rFonts w:ascii="Times New Roman" w:eastAsia="等线" w:hAnsi="Times New Roman" w:cs="Times New Roman" w:hint="eastAsia"/>
          <w:bCs/>
          <w:kern w:val="0"/>
          <w:sz w:val="24"/>
          <w:szCs w:val="24"/>
        </w:rPr>
        <w:t>Zhimin Yu</w:t>
      </w:r>
      <w:r>
        <w:rPr>
          <w:rFonts w:ascii="Times New Roman" w:eastAsia="等线" w:hAnsi="Times New Roman" w:cs="Times New Roman" w:hint="eastAsia"/>
          <w:bCs/>
          <w:kern w:val="0"/>
          <w:sz w:val="24"/>
          <w:szCs w:val="24"/>
          <w:vertAlign w:val="superscript"/>
        </w:rPr>
        <w:t>b</w:t>
      </w:r>
      <w:r w:rsidRPr="005149FF">
        <w:rPr>
          <w:rFonts w:ascii="Times New Roman" w:eastAsia="等线" w:hAnsi="Times New Roman" w:cs="Times New Roman"/>
          <w:bCs/>
          <w:kern w:val="0"/>
          <w:sz w:val="24"/>
          <w:szCs w:val="24"/>
          <w:vertAlign w:val="superscript"/>
          <w:lang w:eastAsia="en-US"/>
        </w:rPr>
        <w:t>†</w:t>
      </w:r>
      <w:r>
        <w:rPr>
          <w:rFonts w:ascii="Times New Roman" w:eastAsia="等线" w:hAnsi="Times New Roman" w:cs="Times New Roman" w:hint="eastAsia"/>
          <w:bCs/>
          <w:kern w:val="0"/>
          <w:sz w:val="24"/>
          <w:szCs w:val="24"/>
        </w:rPr>
        <w:t>, Fang Liu</w:t>
      </w:r>
      <w:r w:rsidRPr="005149FF">
        <w:rPr>
          <w:rFonts w:ascii="Times New Roman" w:eastAsia="等线" w:hAnsi="Times New Roman" w:cs="Times New Roman"/>
          <w:bCs/>
          <w:kern w:val="0"/>
          <w:sz w:val="24"/>
          <w:szCs w:val="24"/>
          <w:lang w:eastAsia="en-US"/>
        </w:rPr>
        <w:t xml:space="preserve">, </w:t>
      </w:r>
      <w:proofErr w:type="spellStart"/>
      <w:r>
        <w:rPr>
          <w:rFonts w:ascii="Times New Roman" w:eastAsia="等线" w:hAnsi="Times New Roman" w:cs="Times New Roman" w:hint="eastAsia"/>
          <w:bCs/>
          <w:kern w:val="0"/>
          <w:sz w:val="24"/>
          <w:szCs w:val="24"/>
        </w:rPr>
        <w:t>Ruozhen</w:t>
      </w:r>
      <w:proofErr w:type="spellEnd"/>
      <w:r>
        <w:rPr>
          <w:rFonts w:ascii="Times New Roman" w:eastAsia="等线" w:hAnsi="Times New Roman" w:cs="Times New Roman" w:hint="eastAsia"/>
          <w:bCs/>
          <w:kern w:val="0"/>
          <w:sz w:val="24"/>
          <w:szCs w:val="24"/>
        </w:rPr>
        <w:t xml:space="preserve"> Yuan</w:t>
      </w:r>
      <w:r>
        <w:rPr>
          <w:rFonts w:ascii="Times New Roman" w:eastAsia="等线" w:hAnsi="Times New Roman" w:cs="Times New Roman" w:hint="eastAsia"/>
          <w:bCs/>
          <w:kern w:val="0"/>
          <w:sz w:val="24"/>
          <w:szCs w:val="24"/>
          <w:vertAlign w:val="superscript"/>
        </w:rPr>
        <w:t>a</w:t>
      </w:r>
      <w:r>
        <w:rPr>
          <w:rFonts w:ascii="Times New Roman" w:eastAsia="等线" w:hAnsi="Times New Roman" w:cs="Times New Roman" w:hint="eastAsia"/>
          <w:bCs/>
          <w:kern w:val="0"/>
          <w:sz w:val="24"/>
          <w:szCs w:val="24"/>
        </w:rPr>
        <w:t xml:space="preserve">, </w:t>
      </w:r>
      <w:proofErr w:type="spellStart"/>
      <w:r>
        <w:rPr>
          <w:rFonts w:ascii="Times New Roman" w:eastAsia="等线" w:hAnsi="Times New Roman" w:cs="Times New Roman" w:hint="eastAsia"/>
          <w:bCs/>
          <w:color w:val="000000" w:themeColor="text1"/>
          <w:kern w:val="0"/>
          <w:sz w:val="24"/>
          <w:szCs w:val="24"/>
        </w:rPr>
        <w:t>Yongmei</w:t>
      </w:r>
      <w:proofErr w:type="spellEnd"/>
      <w:r>
        <w:rPr>
          <w:rFonts w:ascii="Times New Roman" w:eastAsia="等线" w:hAnsi="Times New Roman" w:cs="Times New Roman" w:hint="eastAsia"/>
          <w:bCs/>
          <w:color w:val="000000" w:themeColor="text1"/>
          <w:kern w:val="0"/>
          <w:sz w:val="24"/>
          <w:szCs w:val="24"/>
        </w:rPr>
        <w:t xml:space="preserve"> Fan</w:t>
      </w:r>
      <w:r>
        <w:rPr>
          <w:rFonts w:ascii="Times New Roman" w:eastAsia="等线" w:hAnsi="Times New Roman" w:cs="Times New Roman" w:hint="eastAsia"/>
          <w:bCs/>
          <w:kern w:val="0"/>
          <w:sz w:val="24"/>
          <w:szCs w:val="24"/>
          <w:vertAlign w:val="superscript"/>
        </w:rPr>
        <w:t>a</w:t>
      </w:r>
      <w:r w:rsidRPr="005149FF">
        <w:rPr>
          <w:rFonts w:ascii="Times New Roman" w:eastAsia="等线" w:hAnsi="Times New Roman" w:cs="Times New Roman"/>
          <w:bCs/>
          <w:kern w:val="0"/>
          <w:sz w:val="24"/>
          <w:szCs w:val="24"/>
          <w:lang w:eastAsia="en-US"/>
        </w:rPr>
        <w:t xml:space="preserve">, </w:t>
      </w:r>
      <w:bookmarkStart w:id="0" w:name="_Hlk110324887"/>
      <w:r>
        <w:rPr>
          <w:rFonts w:ascii="Times New Roman" w:eastAsia="等线" w:hAnsi="Times New Roman" w:cs="Times New Roman" w:hint="eastAsia"/>
          <w:bCs/>
          <w:kern w:val="0"/>
          <w:sz w:val="24"/>
          <w:szCs w:val="24"/>
        </w:rPr>
        <w:t>Shunyuan Guo</w:t>
      </w:r>
      <w:r>
        <w:rPr>
          <w:rFonts w:ascii="Times New Roman" w:eastAsia="等线" w:hAnsi="Times New Roman" w:cs="Times New Roman" w:hint="eastAsia"/>
          <w:bCs/>
          <w:kern w:val="0"/>
          <w:sz w:val="24"/>
          <w:szCs w:val="24"/>
          <w:vertAlign w:val="superscript"/>
        </w:rPr>
        <w:t>a</w:t>
      </w:r>
      <w:r w:rsidRPr="005149FF">
        <w:rPr>
          <w:rFonts w:ascii="Times New Roman" w:eastAsia="等线" w:hAnsi="Times New Roman" w:cs="Times New Roman"/>
          <w:bCs/>
          <w:kern w:val="0"/>
          <w:sz w:val="24"/>
          <w:szCs w:val="24"/>
          <w:vertAlign w:val="superscript"/>
          <w:lang w:eastAsia="en-US"/>
        </w:rPr>
        <w:t>*</w:t>
      </w:r>
      <w:r w:rsidRPr="005149FF">
        <w:rPr>
          <w:rFonts w:ascii="Times New Roman" w:eastAsia="等线" w:hAnsi="Times New Roman" w:cs="Times New Roman"/>
          <w:bCs/>
          <w:kern w:val="0"/>
          <w:sz w:val="24"/>
          <w:szCs w:val="24"/>
          <w:lang w:eastAsia="en-US"/>
        </w:rPr>
        <w:t>,</w:t>
      </w:r>
      <w:bookmarkEnd w:id="0"/>
      <w:r w:rsidRPr="005149FF">
        <w:rPr>
          <w:rFonts w:ascii="Times New Roman" w:eastAsia="等线" w:hAnsi="Times New Roman" w:cs="Times New Roman" w:hint="eastAsia"/>
          <w:bCs/>
          <w:color w:val="FF0000"/>
          <w:kern w:val="0"/>
          <w:sz w:val="24"/>
          <w:szCs w:val="24"/>
        </w:rPr>
        <w:t xml:space="preserve"> </w:t>
      </w:r>
      <w:proofErr w:type="spellStart"/>
      <w:r w:rsidRPr="005149FF">
        <w:rPr>
          <w:rFonts w:ascii="Times New Roman" w:eastAsia="等线" w:hAnsi="Times New Roman" w:cs="Times New Roman"/>
          <w:bCs/>
          <w:kern w:val="0"/>
          <w:sz w:val="24"/>
          <w:szCs w:val="24"/>
          <w:lang w:eastAsia="en-US"/>
        </w:rPr>
        <w:t>Xinzhao</w:t>
      </w:r>
      <w:proofErr w:type="spellEnd"/>
      <w:r w:rsidRPr="005149FF">
        <w:rPr>
          <w:rFonts w:ascii="Times New Roman" w:eastAsia="等线" w:hAnsi="Times New Roman" w:cs="Times New Roman"/>
          <w:bCs/>
          <w:kern w:val="0"/>
          <w:sz w:val="24"/>
          <w:szCs w:val="24"/>
          <w:lang w:eastAsia="en-US"/>
        </w:rPr>
        <w:t xml:space="preserve"> </w:t>
      </w:r>
      <w:proofErr w:type="spellStart"/>
      <w:r w:rsidRPr="005149FF">
        <w:rPr>
          <w:rFonts w:ascii="Times New Roman" w:eastAsia="等线" w:hAnsi="Times New Roman" w:cs="Times New Roman"/>
          <w:bCs/>
          <w:kern w:val="0"/>
          <w:sz w:val="24"/>
          <w:szCs w:val="24"/>
          <w:lang w:eastAsia="en-US"/>
        </w:rPr>
        <w:t>Jiang</w:t>
      </w:r>
      <w:r>
        <w:rPr>
          <w:rFonts w:ascii="Times New Roman" w:eastAsia="等线" w:hAnsi="Times New Roman" w:cs="Times New Roman" w:hint="eastAsia"/>
          <w:bCs/>
          <w:kern w:val="0"/>
          <w:sz w:val="24"/>
          <w:szCs w:val="24"/>
          <w:vertAlign w:val="superscript"/>
        </w:rPr>
        <w:t>a</w:t>
      </w:r>
      <w:proofErr w:type="spellEnd"/>
      <w:r w:rsidRPr="005149FF">
        <w:rPr>
          <w:rFonts w:ascii="Times New Roman" w:eastAsia="等线" w:hAnsi="Times New Roman" w:cs="Times New Roman"/>
          <w:bCs/>
          <w:kern w:val="0"/>
          <w:sz w:val="24"/>
          <w:szCs w:val="24"/>
          <w:vertAlign w:val="superscript"/>
          <w:lang w:eastAsia="en-US"/>
        </w:rPr>
        <w:t>*</w:t>
      </w:r>
    </w:p>
    <w:p w14:paraId="527FA190" w14:textId="77777777" w:rsidR="00274283" w:rsidRPr="00806940" w:rsidRDefault="00274283" w:rsidP="0027428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71B88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S</w:t>
      </w:r>
      <w:r w:rsidRPr="00E71B88">
        <w:rPr>
          <w:rFonts w:ascii="Times New Roman" w:eastAsia="宋体" w:hAnsi="Times New Roman" w:cs="Times New Roman"/>
          <w:b/>
          <w:bCs/>
          <w:sz w:val="24"/>
          <w:szCs w:val="24"/>
        </w:rPr>
        <w:t>1</w:t>
      </w:r>
      <w:r w:rsidRPr="00806940">
        <w:rPr>
          <w:rFonts w:ascii="Times New Roman" w:hAnsi="Times New Roman" w:cs="Times New Roman"/>
          <w:b/>
          <w:bCs/>
          <w:sz w:val="24"/>
          <w:szCs w:val="24"/>
        </w:rPr>
        <w:t>. Multivariable-Adjusted Regression Analyses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1715"/>
        <w:gridCol w:w="1260"/>
        <w:gridCol w:w="842"/>
      </w:tblGrid>
      <w:tr w:rsidR="00274283" w:rsidRPr="00806940" w14:paraId="44988C9D" w14:textId="77777777" w:rsidTr="004B322C">
        <w:trPr>
          <w:tblHeader/>
          <w:tblCellSpacing w:w="15" w:type="dxa"/>
        </w:trPr>
        <w:tc>
          <w:tcPr>
            <w:tcW w:w="4491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565E71C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1685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15FCFD3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Adjusted OR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3B4A366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3ED606B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 Value</w:t>
            </w:r>
          </w:p>
        </w:tc>
      </w:tr>
      <w:tr w:rsidR="00274283" w:rsidRPr="00806940" w14:paraId="6B112D0B" w14:textId="77777777" w:rsidTr="004B322C">
        <w:trPr>
          <w:tblCellSpacing w:w="15" w:type="dxa"/>
        </w:trPr>
        <w:tc>
          <w:tcPr>
            <w:tcW w:w="4491" w:type="dxa"/>
            <w:vAlign w:val="center"/>
            <w:hideMark/>
          </w:tcPr>
          <w:p w14:paraId="2B572F2A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Binary Logistic Model (</w:t>
            </w:r>
            <w:proofErr w:type="spellStart"/>
            <w:r w:rsidRPr="008069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mRS</w:t>
            </w:r>
            <w:proofErr w:type="spellEnd"/>
            <w:r w:rsidRPr="008069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0–1 vs 2–6)</w:t>
            </w:r>
          </w:p>
        </w:tc>
        <w:tc>
          <w:tcPr>
            <w:tcW w:w="1685" w:type="dxa"/>
            <w:vAlign w:val="center"/>
            <w:hideMark/>
          </w:tcPr>
          <w:p w14:paraId="4AB926B7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C0F06C2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78316DF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283" w:rsidRPr="00806940" w14:paraId="2AAEF312" w14:textId="77777777" w:rsidTr="004B322C">
        <w:trPr>
          <w:tblCellSpacing w:w="15" w:type="dxa"/>
        </w:trPr>
        <w:tc>
          <w:tcPr>
            <w:tcW w:w="4491" w:type="dxa"/>
            <w:vAlign w:val="center"/>
            <w:hideMark/>
          </w:tcPr>
          <w:p w14:paraId="0CF9FC81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Tenecteplase vs Alteplase</w:t>
            </w:r>
          </w:p>
        </w:tc>
        <w:tc>
          <w:tcPr>
            <w:tcW w:w="1685" w:type="dxa"/>
            <w:vAlign w:val="center"/>
            <w:hideMark/>
          </w:tcPr>
          <w:p w14:paraId="6D589DED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2.27</w:t>
            </w:r>
          </w:p>
        </w:tc>
        <w:tc>
          <w:tcPr>
            <w:tcW w:w="0" w:type="auto"/>
            <w:vAlign w:val="center"/>
            <w:hideMark/>
          </w:tcPr>
          <w:p w14:paraId="7BAF8EB8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0.89–5.77</w:t>
            </w:r>
          </w:p>
        </w:tc>
        <w:tc>
          <w:tcPr>
            <w:tcW w:w="0" w:type="auto"/>
            <w:vAlign w:val="center"/>
            <w:hideMark/>
          </w:tcPr>
          <w:p w14:paraId="19033257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0.086</w:t>
            </w:r>
          </w:p>
        </w:tc>
      </w:tr>
      <w:tr w:rsidR="00274283" w:rsidRPr="00806940" w14:paraId="782B2079" w14:textId="77777777" w:rsidTr="004B322C">
        <w:trPr>
          <w:tblCellSpacing w:w="15" w:type="dxa"/>
        </w:trPr>
        <w:tc>
          <w:tcPr>
            <w:tcW w:w="4491" w:type="dxa"/>
            <w:vAlign w:val="center"/>
            <w:hideMark/>
          </w:tcPr>
          <w:p w14:paraId="14AFCD9D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Age (per year increase)</w:t>
            </w:r>
          </w:p>
        </w:tc>
        <w:tc>
          <w:tcPr>
            <w:tcW w:w="1685" w:type="dxa"/>
            <w:vAlign w:val="center"/>
            <w:hideMark/>
          </w:tcPr>
          <w:p w14:paraId="376FABDE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0" w:type="auto"/>
            <w:vAlign w:val="center"/>
            <w:hideMark/>
          </w:tcPr>
          <w:p w14:paraId="52214774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0.95–1.02</w:t>
            </w:r>
          </w:p>
        </w:tc>
        <w:tc>
          <w:tcPr>
            <w:tcW w:w="0" w:type="auto"/>
            <w:vAlign w:val="center"/>
            <w:hideMark/>
          </w:tcPr>
          <w:p w14:paraId="61BF04E1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0.362</w:t>
            </w:r>
          </w:p>
        </w:tc>
      </w:tr>
      <w:tr w:rsidR="00274283" w:rsidRPr="00806940" w14:paraId="1E94F2B6" w14:textId="77777777" w:rsidTr="004B322C">
        <w:trPr>
          <w:tblCellSpacing w:w="15" w:type="dxa"/>
        </w:trPr>
        <w:tc>
          <w:tcPr>
            <w:tcW w:w="4491" w:type="dxa"/>
            <w:vAlign w:val="center"/>
            <w:hideMark/>
          </w:tcPr>
          <w:p w14:paraId="2989C203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Baseline NIHSS (per point increase)</w:t>
            </w:r>
          </w:p>
        </w:tc>
        <w:tc>
          <w:tcPr>
            <w:tcW w:w="1685" w:type="dxa"/>
            <w:vAlign w:val="center"/>
            <w:hideMark/>
          </w:tcPr>
          <w:p w14:paraId="24E4B0E7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0" w:type="auto"/>
            <w:vAlign w:val="center"/>
            <w:hideMark/>
          </w:tcPr>
          <w:p w14:paraId="74635027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0.68–1.01</w:t>
            </w:r>
          </w:p>
        </w:tc>
        <w:tc>
          <w:tcPr>
            <w:tcW w:w="0" w:type="auto"/>
            <w:vAlign w:val="center"/>
            <w:hideMark/>
          </w:tcPr>
          <w:p w14:paraId="2106D7E3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0.065</w:t>
            </w:r>
          </w:p>
        </w:tc>
      </w:tr>
      <w:tr w:rsidR="00274283" w:rsidRPr="00806940" w14:paraId="72390A72" w14:textId="77777777" w:rsidTr="004B322C">
        <w:trPr>
          <w:tblCellSpacing w:w="15" w:type="dxa"/>
        </w:trPr>
        <w:tc>
          <w:tcPr>
            <w:tcW w:w="4491" w:type="dxa"/>
            <w:vAlign w:val="center"/>
            <w:hideMark/>
          </w:tcPr>
          <w:p w14:paraId="53300263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Admission Glucose (per mmol/L increase)</w:t>
            </w:r>
          </w:p>
        </w:tc>
        <w:tc>
          <w:tcPr>
            <w:tcW w:w="1685" w:type="dxa"/>
            <w:vAlign w:val="center"/>
            <w:hideMark/>
          </w:tcPr>
          <w:p w14:paraId="73D87ABC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0" w:type="auto"/>
            <w:vAlign w:val="center"/>
            <w:hideMark/>
          </w:tcPr>
          <w:p w14:paraId="52E97848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0.82–1.03</w:t>
            </w:r>
          </w:p>
        </w:tc>
        <w:tc>
          <w:tcPr>
            <w:tcW w:w="0" w:type="auto"/>
            <w:vAlign w:val="center"/>
            <w:hideMark/>
          </w:tcPr>
          <w:p w14:paraId="61B830E7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0.145</w:t>
            </w:r>
          </w:p>
        </w:tc>
      </w:tr>
      <w:tr w:rsidR="00274283" w:rsidRPr="00806940" w14:paraId="22584D7E" w14:textId="77777777" w:rsidTr="004B322C">
        <w:trPr>
          <w:tblCellSpacing w:w="15" w:type="dxa"/>
        </w:trPr>
        <w:tc>
          <w:tcPr>
            <w:tcW w:w="4491" w:type="dxa"/>
            <w:vAlign w:val="center"/>
            <w:hideMark/>
          </w:tcPr>
          <w:p w14:paraId="1152B346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Ordinal Logistic Model (Shift Analysis, </w:t>
            </w:r>
            <w:proofErr w:type="spellStart"/>
            <w:r w:rsidRPr="008069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mRS</w:t>
            </w:r>
            <w:proofErr w:type="spellEnd"/>
            <w:r w:rsidRPr="008069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0–6)</w:t>
            </w:r>
          </w:p>
        </w:tc>
        <w:tc>
          <w:tcPr>
            <w:tcW w:w="1685" w:type="dxa"/>
            <w:vAlign w:val="center"/>
            <w:hideMark/>
          </w:tcPr>
          <w:p w14:paraId="2CB441A6" w14:textId="77777777" w:rsidR="00274283" w:rsidRPr="007C1FF5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A474025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A747FD1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283" w:rsidRPr="00806940" w14:paraId="01625F0D" w14:textId="77777777" w:rsidTr="004B322C">
        <w:trPr>
          <w:tblCellSpacing w:w="15" w:type="dxa"/>
        </w:trPr>
        <w:tc>
          <w:tcPr>
            <w:tcW w:w="4491" w:type="dxa"/>
            <w:vAlign w:val="center"/>
            <w:hideMark/>
          </w:tcPr>
          <w:p w14:paraId="30A1A913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Tenecteplase vs Alteplase</w:t>
            </w:r>
          </w:p>
        </w:tc>
        <w:tc>
          <w:tcPr>
            <w:tcW w:w="1685" w:type="dxa"/>
            <w:vAlign w:val="center"/>
            <w:hideMark/>
          </w:tcPr>
          <w:p w14:paraId="44E010A0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0.216</w:t>
            </w:r>
          </w:p>
        </w:tc>
        <w:tc>
          <w:tcPr>
            <w:tcW w:w="0" w:type="auto"/>
            <w:vAlign w:val="center"/>
            <w:hideMark/>
          </w:tcPr>
          <w:p w14:paraId="62EA91FB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0.099–0.455</w:t>
            </w:r>
          </w:p>
        </w:tc>
        <w:tc>
          <w:tcPr>
            <w:tcW w:w="0" w:type="auto"/>
            <w:vAlign w:val="center"/>
            <w:hideMark/>
          </w:tcPr>
          <w:p w14:paraId="5BEF2B70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274283" w:rsidRPr="00806940" w14:paraId="73AC0564" w14:textId="77777777" w:rsidTr="004B322C">
        <w:trPr>
          <w:tblCellSpacing w:w="15" w:type="dxa"/>
        </w:trPr>
        <w:tc>
          <w:tcPr>
            <w:tcW w:w="4491" w:type="dxa"/>
            <w:vAlign w:val="center"/>
            <w:hideMark/>
          </w:tcPr>
          <w:p w14:paraId="35E536C3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Age (per year increase)</w:t>
            </w:r>
          </w:p>
        </w:tc>
        <w:tc>
          <w:tcPr>
            <w:tcW w:w="1685" w:type="dxa"/>
            <w:vAlign w:val="center"/>
            <w:hideMark/>
          </w:tcPr>
          <w:p w14:paraId="3572A3CB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0" w:type="auto"/>
            <w:vAlign w:val="center"/>
            <w:hideMark/>
          </w:tcPr>
          <w:p w14:paraId="0A027698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1.01–1.07</w:t>
            </w:r>
          </w:p>
        </w:tc>
        <w:tc>
          <w:tcPr>
            <w:tcW w:w="0" w:type="auto"/>
            <w:vAlign w:val="center"/>
            <w:hideMark/>
          </w:tcPr>
          <w:p w14:paraId="1B8C6283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</w:tr>
      <w:tr w:rsidR="00274283" w:rsidRPr="00806940" w14:paraId="4CB0A5DD" w14:textId="77777777" w:rsidTr="004B322C">
        <w:trPr>
          <w:tblCellSpacing w:w="15" w:type="dxa"/>
        </w:trPr>
        <w:tc>
          <w:tcPr>
            <w:tcW w:w="4491" w:type="dxa"/>
            <w:vAlign w:val="center"/>
            <w:hideMark/>
          </w:tcPr>
          <w:p w14:paraId="2957CA4F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Baseline NIHSS (per point increase)</w:t>
            </w:r>
          </w:p>
        </w:tc>
        <w:tc>
          <w:tcPr>
            <w:tcW w:w="1685" w:type="dxa"/>
            <w:vAlign w:val="center"/>
            <w:hideMark/>
          </w:tcPr>
          <w:p w14:paraId="27F911A4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1.46</w:t>
            </w:r>
          </w:p>
        </w:tc>
        <w:tc>
          <w:tcPr>
            <w:tcW w:w="0" w:type="auto"/>
            <w:vAlign w:val="center"/>
            <w:hideMark/>
          </w:tcPr>
          <w:p w14:paraId="19268B5C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1.14–1.88</w:t>
            </w:r>
          </w:p>
        </w:tc>
        <w:tc>
          <w:tcPr>
            <w:tcW w:w="0" w:type="auto"/>
            <w:vAlign w:val="center"/>
            <w:hideMark/>
          </w:tcPr>
          <w:p w14:paraId="76BD0689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274283" w:rsidRPr="00806940" w14:paraId="3CF317A4" w14:textId="77777777" w:rsidTr="004B322C">
        <w:trPr>
          <w:tblCellSpacing w:w="15" w:type="dxa"/>
        </w:trPr>
        <w:tc>
          <w:tcPr>
            <w:tcW w:w="4491" w:type="dxa"/>
            <w:vAlign w:val="center"/>
            <w:hideMark/>
          </w:tcPr>
          <w:p w14:paraId="2FD7DEEF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Admission Glucose (per mmol/L increase)</w:t>
            </w:r>
          </w:p>
        </w:tc>
        <w:tc>
          <w:tcPr>
            <w:tcW w:w="1685" w:type="dxa"/>
            <w:vAlign w:val="center"/>
            <w:hideMark/>
          </w:tcPr>
          <w:p w14:paraId="079053E4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0" w:type="auto"/>
            <w:vAlign w:val="center"/>
            <w:hideMark/>
          </w:tcPr>
          <w:p w14:paraId="46EEF5DE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1.01–1.18</w:t>
            </w:r>
          </w:p>
        </w:tc>
        <w:tc>
          <w:tcPr>
            <w:tcW w:w="0" w:type="auto"/>
            <w:vAlign w:val="center"/>
            <w:hideMark/>
          </w:tcPr>
          <w:p w14:paraId="585B2DA6" w14:textId="77777777" w:rsidR="00274283" w:rsidRPr="00806940" w:rsidRDefault="00274283" w:rsidP="004B32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940">
              <w:rPr>
                <w:rFonts w:ascii="Times New Roman" w:hAnsi="Times New Roman" w:cs="Times New Roman"/>
                <w:sz w:val="24"/>
                <w:szCs w:val="24"/>
              </w:rPr>
              <w:t>0.028</w:t>
            </w:r>
          </w:p>
        </w:tc>
      </w:tr>
    </w:tbl>
    <w:p w14:paraId="54DEBC5A" w14:textId="77777777" w:rsidR="00274283" w:rsidRDefault="00274283" w:rsidP="0027428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0757607" w14:textId="77777777" w:rsidR="00274283" w:rsidRPr="001F664A" w:rsidRDefault="00274283" w:rsidP="00274283">
      <w:pPr>
        <w:spacing w:line="360" w:lineRule="auto"/>
        <w:ind w:firstLineChars="100" w:firstLine="240"/>
        <w:rPr>
          <w:rFonts w:ascii="Times New Roman" w:hAnsi="Times New Roman" w:cs="Times New Roman"/>
          <w:sz w:val="24"/>
          <w:szCs w:val="28"/>
        </w:rPr>
      </w:pPr>
      <w:r w:rsidRPr="007B1E3C"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 wp14:anchorId="26F2825A" wp14:editId="407F90FC">
            <wp:extent cx="5059047" cy="5549968"/>
            <wp:effectExtent l="0" t="0" r="8255" b="0"/>
            <wp:docPr id="10615138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51385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60266" cy="555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D97BB" w14:textId="77777777" w:rsidR="00274283" w:rsidRPr="000A4A08" w:rsidRDefault="00274283" w:rsidP="00274283">
      <w:pPr>
        <w:rPr>
          <w:rFonts w:ascii="Times New Roman" w:hAnsi="Times New Roman" w:cs="Times New Roman"/>
          <w:sz w:val="24"/>
          <w:szCs w:val="24"/>
        </w:rPr>
      </w:pPr>
      <w:r w:rsidRPr="00D40181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D40181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E695A">
        <w:rPr>
          <w:rFonts w:ascii="Times New Roman" w:hAnsi="Times New Roman" w:cs="Times New Roman"/>
          <w:sz w:val="24"/>
          <w:szCs w:val="24"/>
        </w:rPr>
        <w:t xml:space="preserve"> Subgroup</w:t>
      </w:r>
      <w:r w:rsidRPr="00FE695A">
        <w:rPr>
          <w:rFonts w:ascii="Times New Roman" w:hAnsi="Times New Roman" w:cs="Times New Roman" w:hint="eastAsia"/>
          <w:sz w:val="24"/>
          <w:szCs w:val="24"/>
        </w:rPr>
        <w:t xml:space="preserve"> analysis of early neurological deterioration within 24 hours after thrombolysis.</w:t>
      </w:r>
    </w:p>
    <w:p w14:paraId="0278606C" w14:textId="77777777" w:rsidR="00274283" w:rsidRDefault="00274283" w:rsidP="00274283">
      <w:pPr>
        <w:widowControl/>
        <w:spacing w:before="240" w:after="240" w:line="480" w:lineRule="auto"/>
        <w:jc w:val="left"/>
        <w:rPr>
          <w:rFonts w:ascii="Times New Roman" w:eastAsia="等线" w:hAnsi="Times New Roman" w:cs="Times New Roman"/>
          <w:bCs/>
          <w:kern w:val="0"/>
          <w:sz w:val="24"/>
          <w:szCs w:val="24"/>
          <w:vertAlign w:val="superscript"/>
          <w:lang w:eastAsia="en-US"/>
        </w:rPr>
      </w:pPr>
    </w:p>
    <w:p w14:paraId="530FEDED" w14:textId="77777777" w:rsidR="00EC1E00" w:rsidRPr="00274283" w:rsidRDefault="00EC1E00">
      <w:pPr>
        <w:rPr>
          <w:rFonts w:hint="eastAsia"/>
        </w:rPr>
      </w:pPr>
    </w:p>
    <w:sectPr w:rsidR="00EC1E00" w:rsidRPr="002742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39B2A" w14:textId="77777777" w:rsidR="0035678A" w:rsidRDefault="0035678A" w:rsidP="00274283">
      <w:pPr>
        <w:rPr>
          <w:rFonts w:hint="eastAsia"/>
        </w:rPr>
      </w:pPr>
      <w:r>
        <w:separator/>
      </w:r>
    </w:p>
  </w:endnote>
  <w:endnote w:type="continuationSeparator" w:id="0">
    <w:p w14:paraId="4E365FA2" w14:textId="77777777" w:rsidR="0035678A" w:rsidRDefault="0035678A" w:rsidP="0027428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CBC4C" w14:textId="77777777" w:rsidR="0035678A" w:rsidRDefault="0035678A" w:rsidP="00274283">
      <w:pPr>
        <w:rPr>
          <w:rFonts w:hint="eastAsia"/>
        </w:rPr>
      </w:pPr>
      <w:r>
        <w:separator/>
      </w:r>
    </w:p>
  </w:footnote>
  <w:footnote w:type="continuationSeparator" w:id="0">
    <w:p w14:paraId="1DFBAD26" w14:textId="77777777" w:rsidR="0035678A" w:rsidRDefault="0035678A" w:rsidP="0027428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753D"/>
    <w:rsid w:val="00274283"/>
    <w:rsid w:val="0027753D"/>
    <w:rsid w:val="0035678A"/>
    <w:rsid w:val="0071500C"/>
    <w:rsid w:val="00E33AE1"/>
    <w:rsid w:val="00EC1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E7B72D"/>
  <w15:chartTrackingRefBased/>
  <w15:docId w15:val="{2439339D-2711-4518-8E3B-C47390C47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28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7753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75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753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753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753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753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753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753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753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7753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775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775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7753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7753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7753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7753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7753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7753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7753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77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753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775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75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775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753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753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75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7753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7753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7428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7428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742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7428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鑫钊 姜</dc:creator>
  <cp:keywords/>
  <dc:description/>
  <cp:lastModifiedBy>鑫钊 姜</cp:lastModifiedBy>
  <cp:revision>2</cp:revision>
  <dcterms:created xsi:type="dcterms:W3CDTF">2026-07-26T03:30:00Z</dcterms:created>
  <dcterms:modified xsi:type="dcterms:W3CDTF">2026-07-26T03:33:00Z</dcterms:modified>
</cp:coreProperties>
</file>