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200"/>
        <w:jc w:val="center"/>
      </w:pPr>
      <w:r>
        <w:rPr>
          <w:rFonts w:ascii="Arial" w:hAnsi="Arial" w:eastAsia="Arial" w:cs="Arial"/>
          <w:b/>
          <w:sz w:val="36"/>
        </w:rPr>
        <w:t>Supplementary Information</w:t>
      </w:r>
    </w:p>
    <w:p>
      <w:pPr>
        <w:jc w:val="center"/>
      </w:pPr>
      <w:r>
        <w:rPr>
          <w:rFonts w:ascii="Arial" w:hAnsi="Arial" w:eastAsia="Arial" w:cs="Arial"/>
          <w:i/>
          <w:color w:val="555555"/>
          <w:sz w:val="22"/>
        </w:rPr>
        <w:t>Discover Oncology submission</w:t>
      </w:r>
    </w:p>
    <w:p>
      <w:r>
        <w:rPr>
          <w:rFonts w:ascii="Arial" w:hAnsi="Arial" w:eastAsia="Arial" w:cs="Arial"/>
          <w:b/>
          <w:sz w:val="24"/>
        </w:rPr>
        <w:t>Pathological response and exploratory assessment of pretreatment PD-L1 combined positive score after four cycles of neoadjuvant pembrolizumab plus chemotherapy in locally advanced head and neck squamous cell carcinoma: a retrospective cohort study</w:t>
      </w:r>
    </w:p>
    <w:p>
      <w:pPr>
        <w:keepNext/>
      </w:pPr>
      <w:r>
        <w:rPr>
          <w:b/>
        </w:rPr>
        <w:t>Supplementary Table S1 Descriptive pathological response across the historical four CPS categories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700"/>
        <w:gridCol w:w="1740"/>
        <w:gridCol w:w="1740"/>
        <w:gridCol w:w="1740"/>
        <w:gridCol w:w="1740"/>
      </w:tblGrid>
      <w:tr>
        <w:trPr>
          <w:tblHeader w:val="true"/>
        </w:trPr>
        <w:tc>
          <w:tcPr>
            <w:tcW w:type="dxa" w:w="1700"/>
            <w:vAlign w:val="center"/>
            <w:shd w:fill="E8EEF5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CPS category</w:t>
            </w:r>
          </w:p>
        </w:tc>
        <w:tc>
          <w:tcPr>
            <w:tcW w:type="dxa" w:w="700"/>
            <w:vAlign w:val="center"/>
            <w:shd w:fill="E8EEF5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n</w:t>
            </w:r>
          </w:p>
        </w:tc>
        <w:tc>
          <w:tcPr>
            <w:tcW w:type="dxa" w:w="1740"/>
            <w:vAlign w:val="center"/>
            <w:shd w:fill="E8EEF5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Primary MPR</w:t>
            </w:r>
          </w:p>
        </w:tc>
        <w:tc>
          <w:tcPr>
            <w:tcW w:type="dxa" w:w="1740"/>
            <w:vAlign w:val="center"/>
            <w:shd w:fill="E8EEF5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Primary pCR</w:t>
            </w:r>
          </w:p>
        </w:tc>
        <w:tc>
          <w:tcPr>
            <w:tcW w:type="dxa" w:w="1740"/>
            <w:vAlign w:val="center"/>
            <w:shd w:fill="E8EEF5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Overall MPR</w:t>
            </w:r>
          </w:p>
        </w:tc>
        <w:tc>
          <w:tcPr>
            <w:tcW w:type="dxa" w:w="1740"/>
            <w:vAlign w:val="center"/>
            <w:shd w:fill="E8EEF5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Overall pCR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&lt;1</w:t>
            </w:r>
          </w:p>
        </w:tc>
        <w:tc>
          <w:tcPr>
            <w:tcW w:type="dxa" w:w="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4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2 (50.0)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1 (25.0)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2 (50.0)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1 (25.0)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1-&lt;10</w:t>
            </w:r>
          </w:p>
        </w:tc>
        <w:tc>
          <w:tcPr>
            <w:tcW w:type="dxa" w:w="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5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4 (80.0)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2 (40.0)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4 (80.0)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1 (20.0)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10-&lt;20</w:t>
            </w:r>
          </w:p>
        </w:tc>
        <w:tc>
          <w:tcPr>
            <w:tcW w:type="dxa" w:w="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5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5 (100)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4 (80.0)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4 (80.0)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2 (40.0)</w:t>
            </w:r>
          </w:p>
        </w:tc>
      </w:tr>
      <w:tr>
        <w:tc>
          <w:tcPr>
            <w:tcW w:type="dxa" w:w="1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≥20</w:t>
            </w:r>
          </w:p>
        </w:tc>
        <w:tc>
          <w:tcPr>
            <w:tcW w:type="dxa" w:w="70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17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11 (64.7)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8 (47.1)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8 (47.1)</w:t>
            </w:r>
          </w:p>
        </w:tc>
        <w:tc>
          <w:tcPr>
            <w:tcW w:type="dxa" w:w="1740"/>
            <w:vAlign w:val="center"/>
          </w:tcPr>
          <w:p>
            <w:pPr>
              <w:spacing w:before="0" w:after="20" w:line="240" w:lineRule="auto"/>
            </w:pPr>
            <w:r>
              <w:rPr>
                <w:rFonts w:ascii="Arial" w:hAnsi="Arial" w:eastAsia="Arial" w:cs="Arial"/>
                <w:b w:val="0"/>
                <w:sz w:val="20"/>
              </w:rPr>
              <w:t>5 (29.4)</w:t>
            </w:r>
          </w:p>
        </w:tc>
      </w:tr>
    </w:tbl>
    <w:p>
      <w:r>
        <w:t>Values are n (%). These historical categories are descriptive only; no trend test or data-derived cutoff inference was performed. MPR includes pCR. Overall response incorporates primary and nodal compartments as defined in the main manuscript.</w:t>
      </w:r>
    </w:p>
    <w:sectPr w:rsidR="00FC693F" w:rsidRPr="0006063C" w:rsidSect="00034616">
      <w:pgSz w:w="12240" w:h="15840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</w:pPr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</dc:title>
  <dc:subject/>
  <dc:creator>Zhenyu Wang et al.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