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8C185" w14:textId="77777777" w:rsidR="004C3610" w:rsidRDefault="00000000">
      <w:pPr>
        <w:pStyle w:val="1"/>
      </w:pPr>
      <w:bookmarkStart w:id="0" w:name="supplementary-material"/>
      <w:r>
        <w:t>Supplementary Material</w:t>
      </w:r>
    </w:p>
    <w:p w14:paraId="6DB4EAC6" w14:textId="77777777" w:rsidR="004C3610" w:rsidRDefault="00000000">
      <w:pPr>
        <w:pStyle w:val="FirstParagraph"/>
      </w:pPr>
      <w:r>
        <w:rPr>
          <w:b/>
          <w:bCs/>
        </w:rPr>
        <w:t>Association between glycerin enema and 14-day unplanned revisits in children with acute viral gastroenteritis: a dual-center retrospective cohort study</w:t>
      </w:r>
    </w:p>
    <w:p w14:paraId="509F9781" w14:textId="77777777" w:rsidR="004C3610" w:rsidRDefault="00000000">
      <w:pPr>
        <w:pStyle w:val="a0"/>
      </w:pPr>
      <w:r>
        <w:t>Liu Shaohua, Qiu Jianwu, Li Haohua, Jin Tiexia, Bao Xiao, Zuo Yunlong</w:t>
      </w:r>
    </w:p>
    <w:p w14:paraId="15840728" w14:textId="77777777" w:rsidR="004C3610" w:rsidRDefault="00000000">
      <w:r>
        <w:pict w14:anchorId="5906175C">
          <v:rect id="_x0000_i1025" style="width:0;height:1.5pt" o:hralign="center" o:hrstd="t" o:hr="t"/>
        </w:pict>
      </w:r>
    </w:p>
    <w:p w14:paraId="05135477" w14:textId="77777777" w:rsidR="004C3610" w:rsidRDefault="00000000">
      <w:pPr>
        <w:pStyle w:val="2"/>
      </w:pPr>
      <w:bookmarkStart w:id="1" w:name="X4b89d08fb66b84f8220437eebfbbe5f05656a9a"/>
      <w:r>
        <w:t>Additional file 1: Table S1. Baseline characteristics before propensity score matching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405"/>
        <w:gridCol w:w="2299"/>
        <w:gridCol w:w="2355"/>
        <w:gridCol w:w="797"/>
      </w:tblGrid>
      <w:tr w:rsidR="004C3610" w14:paraId="2F5CB593" w14:textId="77777777" w:rsidTr="004C36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19BFEEB" w14:textId="77777777" w:rsidR="004C3610" w:rsidRDefault="00000000">
            <w:pPr>
              <w:pStyle w:val="Compact"/>
            </w:pPr>
            <w:r>
              <w:t>Characteristic</w:t>
            </w:r>
          </w:p>
        </w:tc>
        <w:tc>
          <w:tcPr>
            <w:tcW w:w="0" w:type="auto"/>
          </w:tcPr>
          <w:p w14:paraId="688F6538" w14:textId="77777777" w:rsidR="004C3610" w:rsidRDefault="00000000">
            <w:pPr>
              <w:pStyle w:val="Compact"/>
            </w:pPr>
            <w:r>
              <w:t>Enema group (n=351)</w:t>
            </w:r>
          </w:p>
        </w:tc>
        <w:tc>
          <w:tcPr>
            <w:tcW w:w="0" w:type="auto"/>
          </w:tcPr>
          <w:p w14:paraId="602B0C1A" w14:textId="77777777" w:rsidR="004C3610" w:rsidRDefault="00000000">
            <w:pPr>
              <w:pStyle w:val="Compact"/>
            </w:pPr>
            <w:r>
              <w:t>Control group (n=369)</w:t>
            </w:r>
          </w:p>
        </w:tc>
        <w:tc>
          <w:tcPr>
            <w:tcW w:w="0" w:type="auto"/>
          </w:tcPr>
          <w:p w14:paraId="6E7C3DD3" w14:textId="77777777" w:rsidR="004C3610" w:rsidRDefault="00000000">
            <w:pPr>
              <w:pStyle w:val="Compact"/>
            </w:pPr>
            <w:r>
              <w:t>SMD</w:t>
            </w:r>
          </w:p>
        </w:tc>
      </w:tr>
      <w:tr w:rsidR="004C3610" w14:paraId="5008E0F3" w14:textId="77777777">
        <w:tc>
          <w:tcPr>
            <w:tcW w:w="0" w:type="auto"/>
          </w:tcPr>
          <w:p w14:paraId="12AE8DDD" w14:textId="77777777" w:rsidR="004C3610" w:rsidRDefault="00000000">
            <w:pPr>
              <w:pStyle w:val="Compact"/>
            </w:pPr>
            <w:r>
              <w:t>Age, months, mean ± SD</w:t>
            </w:r>
          </w:p>
        </w:tc>
        <w:tc>
          <w:tcPr>
            <w:tcW w:w="0" w:type="auto"/>
          </w:tcPr>
          <w:p w14:paraId="4D85195F" w14:textId="77777777" w:rsidR="004C3610" w:rsidRDefault="00000000">
            <w:pPr>
              <w:pStyle w:val="Compact"/>
            </w:pPr>
            <w:r>
              <w:t>46.77 ± 32.15</w:t>
            </w:r>
          </w:p>
        </w:tc>
        <w:tc>
          <w:tcPr>
            <w:tcW w:w="0" w:type="auto"/>
          </w:tcPr>
          <w:p w14:paraId="062B334C" w14:textId="77777777" w:rsidR="004C3610" w:rsidRDefault="00000000">
            <w:pPr>
              <w:pStyle w:val="Compact"/>
            </w:pPr>
            <w:r>
              <w:t>43.69 ± 39.55</w:t>
            </w:r>
          </w:p>
        </w:tc>
        <w:tc>
          <w:tcPr>
            <w:tcW w:w="0" w:type="auto"/>
          </w:tcPr>
          <w:p w14:paraId="425B9FA9" w14:textId="77777777" w:rsidR="004C3610" w:rsidRDefault="00000000">
            <w:pPr>
              <w:pStyle w:val="Compact"/>
            </w:pPr>
            <w:r>
              <w:t>0.086</w:t>
            </w:r>
          </w:p>
        </w:tc>
      </w:tr>
      <w:tr w:rsidR="004C3610" w14:paraId="479F8587" w14:textId="77777777">
        <w:tc>
          <w:tcPr>
            <w:tcW w:w="0" w:type="auto"/>
          </w:tcPr>
          <w:p w14:paraId="7FAA99D9" w14:textId="77777777" w:rsidR="004C3610" w:rsidRDefault="00000000">
            <w:pPr>
              <w:pStyle w:val="Compact"/>
            </w:pPr>
            <w:r>
              <w:t>Male, n (%)</w:t>
            </w:r>
          </w:p>
        </w:tc>
        <w:tc>
          <w:tcPr>
            <w:tcW w:w="0" w:type="auto"/>
          </w:tcPr>
          <w:p w14:paraId="4EDD164A" w14:textId="77777777" w:rsidR="004C3610" w:rsidRDefault="00000000">
            <w:pPr>
              <w:pStyle w:val="Compact"/>
            </w:pPr>
            <w:r>
              <w:t>215 (61.25)</w:t>
            </w:r>
          </w:p>
        </w:tc>
        <w:tc>
          <w:tcPr>
            <w:tcW w:w="0" w:type="auto"/>
          </w:tcPr>
          <w:p w14:paraId="12ACE37C" w14:textId="77777777" w:rsidR="004C3610" w:rsidRDefault="00000000">
            <w:pPr>
              <w:pStyle w:val="Compact"/>
            </w:pPr>
            <w:r>
              <w:t>246 (66.67)</w:t>
            </w:r>
          </w:p>
        </w:tc>
        <w:tc>
          <w:tcPr>
            <w:tcW w:w="0" w:type="auto"/>
          </w:tcPr>
          <w:p w14:paraId="0D9FD448" w14:textId="77777777" w:rsidR="004C3610" w:rsidRDefault="00000000">
            <w:pPr>
              <w:pStyle w:val="Compact"/>
            </w:pPr>
            <w:r>
              <w:t>0.113</w:t>
            </w:r>
          </w:p>
        </w:tc>
      </w:tr>
      <w:tr w:rsidR="004C3610" w14:paraId="421B8731" w14:textId="77777777">
        <w:tc>
          <w:tcPr>
            <w:tcW w:w="0" w:type="auto"/>
          </w:tcPr>
          <w:p w14:paraId="4DD26ECC" w14:textId="77777777" w:rsidR="004C3610" w:rsidRDefault="00000000">
            <w:pPr>
              <w:pStyle w:val="Compact"/>
            </w:pPr>
            <w:r>
              <w:t>Fever, n (%)</w:t>
            </w:r>
          </w:p>
        </w:tc>
        <w:tc>
          <w:tcPr>
            <w:tcW w:w="0" w:type="auto"/>
          </w:tcPr>
          <w:p w14:paraId="1CF17163" w14:textId="77777777" w:rsidR="004C3610" w:rsidRDefault="00000000">
            <w:pPr>
              <w:pStyle w:val="Compact"/>
            </w:pPr>
            <w:r>
              <w:t>91 (25.93)</w:t>
            </w:r>
          </w:p>
        </w:tc>
        <w:tc>
          <w:tcPr>
            <w:tcW w:w="0" w:type="auto"/>
          </w:tcPr>
          <w:p w14:paraId="75979E4E" w14:textId="77777777" w:rsidR="004C3610" w:rsidRDefault="00000000">
            <w:pPr>
              <w:pStyle w:val="Compact"/>
            </w:pPr>
            <w:r>
              <w:t>94 (25.47)</w:t>
            </w:r>
          </w:p>
        </w:tc>
        <w:tc>
          <w:tcPr>
            <w:tcW w:w="0" w:type="auto"/>
          </w:tcPr>
          <w:p w14:paraId="54A11124" w14:textId="77777777" w:rsidR="004C3610" w:rsidRDefault="00000000">
            <w:pPr>
              <w:pStyle w:val="Compact"/>
            </w:pPr>
            <w:r>
              <w:t>0.010</w:t>
            </w:r>
          </w:p>
        </w:tc>
      </w:tr>
      <w:tr w:rsidR="004C3610" w14:paraId="2A209382" w14:textId="77777777">
        <w:tc>
          <w:tcPr>
            <w:tcW w:w="0" w:type="auto"/>
          </w:tcPr>
          <w:p w14:paraId="351E38F8" w14:textId="77777777" w:rsidR="004C3610" w:rsidRDefault="00000000">
            <w:pPr>
              <w:pStyle w:val="Compact"/>
            </w:pPr>
            <w:r>
              <w:t>Intravenous fluid, n (%)</w:t>
            </w:r>
          </w:p>
        </w:tc>
        <w:tc>
          <w:tcPr>
            <w:tcW w:w="0" w:type="auto"/>
          </w:tcPr>
          <w:p w14:paraId="637C5796" w14:textId="77777777" w:rsidR="004C3610" w:rsidRDefault="00000000">
            <w:pPr>
              <w:pStyle w:val="Compact"/>
            </w:pPr>
            <w:r>
              <w:t>110 (31.34)</w:t>
            </w:r>
          </w:p>
        </w:tc>
        <w:tc>
          <w:tcPr>
            <w:tcW w:w="0" w:type="auto"/>
          </w:tcPr>
          <w:p w14:paraId="3438F8FF" w14:textId="77777777" w:rsidR="004C3610" w:rsidRDefault="00000000">
            <w:pPr>
              <w:pStyle w:val="Compact"/>
            </w:pPr>
            <w:r>
              <w:t>79 (21.41)</w:t>
            </w:r>
          </w:p>
        </w:tc>
        <w:tc>
          <w:tcPr>
            <w:tcW w:w="0" w:type="auto"/>
          </w:tcPr>
          <w:p w14:paraId="08B530DF" w14:textId="77777777" w:rsidR="004C3610" w:rsidRDefault="00000000">
            <w:pPr>
              <w:pStyle w:val="Compact"/>
            </w:pPr>
            <w:r>
              <w:t>0.227</w:t>
            </w:r>
          </w:p>
        </w:tc>
      </w:tr>
      <w:tr w:rsidR="004C3610" w14:paraId="4EDD2D75" w14:textId="77777777">
        <w:tc>
          <w:tcPr>
            <w:tcW w:w="0" w:type="auto"/>
          </w:tcPr>
          <w:p w14:paraId="3EC7BA6B" w14:textId="77777777" w:rsidR="004C3610" w:rsidRDefault="00000000">
            <w:pPr>
              <w:pStyle w:val="Compact"/>
            </w:pPr>
            <w:r>
              <w:t>Non-diarrhea presentation, n (%)</w:t>
            </w:r>
          </w:p>
        </w:tc>
        <w:tc>
          <w:tcPr>
            <w:tcW w:w="0" w:type="auto"/>
          </w:tcPr>
          <w:p w14:paraId="0F476CB2" w14:textId="77777777" w:rsidR="004C3610" w:rsidRDefault="00000000">
            <w:pPr>
              <w:pStyle w:val="Compact"/>
            </w:pPr>
            <w:r>
              <w:t>271 (77.21)</w:t>
            </w:r>
          </w:p>
        </w:tc>
        <w:tc>
          <w:tcPr>
            <w:tcW w:w="0" w:type="auto"/>
          </w:tcPr>
          <w:p w14:paraId="4221A9A1" w14:textId="77777777" w:rsidR="004C3610" w:rsidRDefault="00000000">
            <w:pPr>
              <w:pStyle w:val="Compact"/>
            </w:pPr>
            <w:r>
              <w:t>98 (26.56)</w:t>
            </w:r>
          </w:p>
        </w:tc>
        <w:tc>
          <w:tcPr>
            <w:tcW w:w="0" w:type="auto"/>
          </w:tcPr>
          <w:p w14:paraId="20754B79" w14:textId="77777777" w:rsidR="004C3610" w:rsidRDefault="00000000">
            <w:pPr>
              <w:pStyle w:val="Compact"/>
            </w:pPr>
            <w:r>
              <w:t>1.176</w:t>
            </w:r>
          </w:p>
        </w:tc>
      </w:tr>
      <w:tr w:rsidR="004C3610" w14:paraId="42E6AE98" w14:textId="77777777">
        <w:tc>
          <w:tcPr>
            <w:tcW w:w="0" w:type="auto"/>
          </w:tcPr>
          <w:p w14:paraId="1625CCCE" w14:textId="77777777" w:rsidR="004C3610" w:rsidRDefault="00000000">
            <w:pPr>
              <w:pStyle w:val="Compact"/>
            </w:pPr>
            <w:r>
              <w:t>Antibiotic use, n (%)</w:t>
            </w:r>
          </w:p>
        </w:tc>
        <w:tc>
          <w:tcPr>
            <w:tcW w:w="0" w:type="auto"/>
          </w:tcPr>
          <w:p w14:paraId="432EB282" w14:textId="77777777" w:rsidR="004C3610" w:rsidRDefault="00000000">
            <w:pPr>
              <w:pStyle w:val="Compact"/>
            </w:pPr>
            <w:r>
              <w:t>16 (4.56)</w:t>
            </w:r>
          </w:p>
        </w:tc>
        <w:tc>
          <w:tcPr>
            <w:tcW w:w="0" w:type="auto"/>
          </w:tcPr>
          <w:p w14:paraId="7182FD7D" w14:textId="77777777" w:rsidR="004C3610" w:rsidRDefault="00000000">
            <w:pPr>
              <w:pStyle w:val="Compact"/>
            </w:pPr>
            <w:r>
              <w:t>54 (14.63)</w:t>
            </w:r>
          </w:p>
        </w:tc>
        <w:tc>
          <w:tcPr>
            <w:tcW w:w="0" w:type="auto"/>
          </w:tcPr>
          <w:p w14:paraId="4943A390" w14:textId="77777777" w:rsidR="004C3610" w:rsidRDefault="00000000">
            <w:pPr>
              <w:pStyle w:val="Compact"/>
            </w:pPr>
            <w:r>
              <w:t>—</w:t>
            </w:r>
          </w:p>
        </w:tc>
      </w:tr>
      <w:tr w:rsidR="004C3610" w14:paraId="78026C52" w14:textId="77777777">
        <w:tc>
          <w:tcPr>
            <w:tcW w:w="0" w:type="auto"/>
          </w:tcPr>
          <w:p w14:paraId="26C4CA8C" w14:textId="77777777" w:rsidR="004C3610" w:rsidRDefault="00000000">
            <w:pPr>
              <w:pStyle w:val="Compact"/>
            </w:pPr>
            <w:r>
              <w:t>Symptom duration ≥3 days, n (%)</w:t>
            </w:r>
          </w:p>
        </w:tc>
        <w:tc>
          <w:tcPr>
            <w:tcW w:w="0" w:type="auto"/>
          </w:tcPr>
          <w:p w14:paraId="669B21B7" w14:textId="77777777" w:rsidR="004C3610" w:rsidRDefault="00000000">
            <w:pPr>
              <w:pStyle w:val="Compact"/>
            </w:pPr>
            <w:r>
              <w:t>0 (0)</w:t>
            </w:r>
          </w:p>
        </w:tc>
        <w:tc>
          <w:tcPr>
            <w:tcW w:w="0" w:type="auto"/>
          </w:tcPr>
          <w:p w14:paraId="686966E9" w14:textId="77777777" w:rsidR="004C3610" w:rsidRDefault="00000000">
            <w:pPr>
              <w:pStyle w:val="Compact"/>
            </w:pPr>
            <w:r>
              <w:t>18 (4.88)</w:t>
            </w:r>
          </w:p>
        </w:tc>
        <w:tc>
          <w:tcPr>
            <w:tcW w:w="0" w:type="auto"/>
          </w:tcPr>
          <w:p w14:paraId="2E9DD508" w14:textId="77777777" w:rsidR="004C3610" w:rsidRDefault="00000000">
            <w:pPr>
              <w:pStyle w:val="Compact"/>
            </w:pPr>
            <w:r>
              <w:t>—</w:t>
            </w:r>
          </w:p>
        </w:tc>
      </w:tr>
    </w:tbl>
    <w:p w14:paraId="10026C85" w14:textId="77777777" w:rsidR="004C3610" w:rsidRDefault="00000000">
      <w:pPr>
        <w:pStyle w:val="a0"/>
      </w:pPr>
      <w:r>
        <w:t>SMD, standardized mean difference. SMD &lt; 0.1 indicates adequate covariate balance.</w:t>
      </w:r>
    </w:p>
    <w:p w14:paraId="4809DEFE" w14:textId="77777777" w:rsidR="004C3610" w:rsidRDefault="00000000">
      <w:r>
        <w:pict w14:anchorId="59BAFBDD">
          <v:rect id="_x0000_i1026" style="width:0;height:1.5pt" o:hralign="center" o:hrstd="t" o:hr="t"/>
        </w:pict>
      </w:r>
    </w:p>
    <w:p w14:paraId="3DBC8459" w14:textId="77777777" w:rsidR="004C3610" w:rsidRDefault="00000000">
      <w:pPr>
        <w:pStyle w:val="2"/>
      </w:pPr>
      <w:bookmarkStart w:id="2" w:name="additional-file-2-figure-s1"/>
      <w:bookmarkEnd w:id="1"/>
      <w:r>
        <w:t>Additional file 2: Figure S1</w:t>
      </w:r>
    </w:p>
    <w:p w14:paraId="042E2E84" w14:textId="77777777" w:rsidR="004C3610" w:rsidRDefault="00000000">
      <w:pPr>
        <w:pStyle w:val="FirstParagraph"/>
      </w:pPr>
      <w:r>
        <w:rPr>
          <w:b/>
          <w:bCs/>
        </w:rPr>
        <w:t>【插入位置：</w:t>
      </w:r>
      <w:r>
        <w:rPr>
          <w:b/>
          <w:bCs/>
        </w:rPr>
        <w:t>Figure S1</w:t>
      </w:r>
      <w:r>
        <w:rPr>
          <w:b/>
          <w:bCs/>
        </w:rPr>
        <w:t>（</w:t>
      </w:r>
      <w:r>
        <w:rPr>
          <w:b/>
          <w:bCs/>
        </w:rPr>
        <w:t>Figure_S1_smd_loveplot.png / .tiff</w:t>
      </w:r>
      <w:r>
        <w:rPr>
          <w:b/>
          <w:bCs/>
        </w:rPr>
        <w:t>）插入于此段之后】</w:t>
      </w:r>
    </w:p>
    <w:p w14:paraId="7ABB2BCE" w14:textId="77777777" w:rsidR="004C3610" w:rsidRDefault="00000000">
      <w:pPr>
        <w:pStyle w:val="a0"/>
      </w:pPr>
      <w:r>
        <w:rPr>
          <w:b/>
          <w:bCs/>
        </w:rPr>
        <w:t>Figure S1. Covariate balance before and after propensity score matching.</w:t>
      </w:r>
    </w:p>
    <w:p w14:paraId="798C8454" w14:textId="77777777" w:rsidR="004C3610" w:rsidRDefault="00000000">
      <w:pPr>
        <w:pStyle w:val="a0"/>
      </w:pPr>
      <w:r>
        <w:t>Absolute standardized mean differences (SMDs) for the five matching covariates before (gray circles) and after (blue triangles) matching. The dashed red line indicates SMD = 0.1; values below this threshold indicate adequate covariate balance. After matching, all five covariates achieved SMD &lt; 0.1 (maximum |SMD| = 0.004).</w:t>
      </w:r>
    </w:p>
    <w:p w14:paraId="1EBD8C85" w14:textId="77777777" w:rsidR="004C3610" w:rsidRDefault="00000000">
      <w:pPr>
        <w:pStyle w:val="CaptionedFigure"/>
      </w:pPr>
      <w:r>
        <w:rPr>
          <w:noProof/>
        </w:rPr>
        <w:lastRenderedPageBreak/>
        <w:drawing>
          <wp:inline distT="0" distB="0" distL="0" distR="0" wp14:anchorId="755D2626" wp14:editId="118D69FB">
            <wp:extent cx="5334000" cy="3052000"/>
            <wp:effectExtent l="0" t="0" r="0" b="0"/>
            <wp:docPr id="22" name="Picture" descr="Figure 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/mnt/agents/output/BMC儿科投稿图表_重绘/Figure_S1_smd_loveplot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5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C4837C" w14:textId="77777777" w:rsidR="004C3610" w:rsidRDefault="00000000">
      <w:pPr>
        <w:pStyle w:val="ImageCaption"/>
      </w:pPr>
      <w:r>
        <w:t>Figure S1</w:t>
      </w:r>
    </w:p>
    <w:p w14:paraId="55F51C97" w14:textId="77777777" w:rsidR="004C3610" w:rsidRDefault="00000000">
      <w:r>
        <w:pict w14:anchorId="7927847E">
          <v:rect id="_x0000_i1027" style="width:0;height:1.5pt" o:hralign="center" o:hrstd="t" o:hr="t"/>
        </w:pict>
      </w:r>
    </w:p>
    <w:p w14:paraId="37569FF4" w14:textId="77777777" w:rsidR="004C3610" w:rsidRDefault="00000000">
      <w:pPr>
        <w:pStyle w:val="2"/>
      </w:pPr>
      <w:bookmarkStart w:id="3" w:name="additional-file-3-figure-s2"/>
      <w:bookmarkEnd w:id="2"/>
      <w:r>
        <w:t>Additional file 3: Figure S2</w:t>
      </w:r>
    </w:p>
    <w:p w14:paraId="114317FA" w14:textId="77777777" w:rsidR="004C3610" w:rsidRDefault="00000000">
      <w:pPr>
        <w:pStyle w:val="FirstParagraph"/>
      </w:pPr>
      <w:r>
        <w:rPr>
          <w:b/>
          <w:bCs/>
        </w:rPr>
        <w:t>【插入位置：</w:t>
      </w:r>
      <w:r>
        <w:rPr>
          <w:b/>
          <w:bCs/>
        </w:rPr>
        <w:t>Figure S2</w:t>
      </w:r>
      <w:r>
        <w:rPr>
          <w:b/>
          <w:bCs/>
        </w:rPr>
        <w:t>（</w:t>
      </w:r>
      <w:r>
        <w:rPr>
          <w:b/>
          <w:bCs/>
        </w:rPr>
        <w:t>Figure_S2_evalue.png / .tiff</w:t>
      </w:r>
      <w:r>
        <w:rPr>
          <w:b/>
          <w:bCs/>
        </w:rPr>
        <w:t>）插入于此段之后】</w:t>
      </w:r>
    </w:p>
    <w:p w14:paraId="55FB9E79" w14:textId="77777777" w:rsidR="004C3610" w:rsidRDefault="00000000">
      <w:pPr>
        <w:pStyle w:val="a0"/>
      </w:pPr>
      <w:r>
        <w:rPr>
          <w:b/>
          <w:bCs/>
        </w:rPr>
        <w:t>Figure S2. E-value sensitivity analysis for unmeasured confounding.</w:t>
      </w:r>
    </w:p>
    <w:p w14:paraId="30FB5AD4" w14:textId="77777777" w:rsidR="004C3610" w:rsidRDefault="00000000">
      <w:pPr>
        <w:pStyle w:val="a0"/>
      </w:pPr>
      <w:r>
        <w:t>The point-estimate E-value (13.90) was derived from the Firth penalized logistic regression odds ratio (OR = 0.139), and the conservative E-value (3.99) from the 95% confidence interval limit nearest the null (0.438). The E-value represents the minimum strength of association that an unmeasured confounder would need to have with both the exposure (glycerin enema) and the outcome (14-day unplanned revisit), conditional on measured covariates, to fully explain away the observed association. The dashed line at E = 1.0 indicates no robustness to unmeasured confounding.</w:t>
      </w:r>
    </w:p>
    <w:p w14:paraId="35D84CCF" w14:textId="77777777" w:rsidR="004C3610" w:rsidRDefault="00000000">
      <w:pPr>
        <w:pStyle w:val="CaptionedFigure"/>
      </w:pPr>
      <w:r>
        <w:rPr>
          <w:noProof/>
        </w:rPr>
        <w:drawing>
          <wp:inline distT="0" distB="0" distL="0" distR="0" wp14:anchorId="7C12CC75" wp14:editId="783A99EA">
            <wp:extent cx="4715495" cy="3668285"/>
            <wp:effectExtent l="0" t="0" r="0" b="0"/>
            <wp:docPr id="26" name="Picture" descr="Figure 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/mnt/agents/output/BMC儿科投稿图表_重绘/Figure_S2_evalu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495" cy="36682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077A37" w14:textId="77777777" w:rsidR="004C3610" w:rsidRDefault="00000000">
      <w:pPr>
        <w:pStyle w:val="ImageCaption"/>
      </w:pPr>
      <w:r>
        <w:t>Figure S2</w:t>
      </w:r>
    </w:p>
    <w:p w14:paraId="27E861BB" w14:textId="77777777" w:rsidR="004C3610" w:rsidRDefault="00000000">
      <w:r>
        <w:pict w14:anchorId="7B2F981F">
          <v:rect id="_x0000_i1028" style="width:0;height:1.5pt" o:hralign="center" o:hrstd="t" o:hr="t"/>
        </w:pict>
      </w:r>
    </w:p>
    <w:p w14:paraId="18F9FCEE" w14:textId="77777777" w:rsidR="004C3610" w:rsidRDefault="00000000">
      <w:pPr>
        <w:pStyle w:val="2"/>
      </w:pPr>
      <w:bookmarkStart w:id="4" w:name="additional-file-4-figure-s3"/>
      <w:bookmarkEnd w:id="3"/>
      <w:r>
        <w:t>Additional file 4: Figure S3</w:t>
      </w:r>
    </w:p>
    <w:p w14:paraId="49690091" w14:textId="77777777" w:rsidR="004C3610" w:rsidRDefault="00000000">
      <w:pPr>
        <w:pStyle w:val="FirstParagraph"/>
      </w:pPr>
      <w:r>
        <w:rPr>
          <w:b/>
          <w:bCs/>
        </w:rPr>
        <w:t>【插入位置：</w:t>
      </w:r>
      <w:r>
        <w:rPr>
          <w:b/>
          <w:bCs/>
        </w:rPr>
        <w:t>Figure S3</w:t>
      </w:r>
      <w:r>
        <w:rPr>
          <w:b/>
          <w:bCs/>
        </w:rPr>
        <w:t>（</w:t>
      </w:r>
      <w:r>
        <w:rPr>
          <w:b/>
          <w:bCs/>
        </w:rPr>
        <w:t>Figure_S3_outcomes_summary.png / .tiff</w:t>
      </w:r>
      <w:r>
        <w:rPr>
          <w:b/>
          <w:bCs/>
        </w:rPr>
        <w:t>）插入于此段之后】</w:t>
      </w:r>
    </w:p>
    <w:p w14:paraId="5C4786CD" w14:textId="77777777" w:rsidR="004C3610" w:rsidRDefault="00000000">
      <w:pPr>
        <w:pStyle w:val="a0"/>
      </w:pPr>
      <w:r>
        <w:rPr>
          <w:b/>
          <w:bCs/>
        </w:rPr>
        <w:t>Figure S3. Summary of effect estimates for the primary outcome across analytic approaches.</w:t>
      </w:r>
    </w:p>
    <w:p w14:paraId="3F0B554B" w14:textId="77777777" w:rsidR="004C3610" w:rsidRDefault="00000000">
      <w:pPr>
        <w:pStyle w:val="a0"/>
      </w:pPr>
      <w:r>
        <w:t>Odds ratios (95% CI, log scale) for the 14-day unplanned revisit outcome estimated by the primary paired McNemar exact test (diamond), Firth penalized logistic regression (square), and the paired McNemar exact test after excluding hospitalized children (149 pairs; square). The dashed vertical line indicates an odds ratio of 1.0. *Exact McNemar OR = 0 with an exact one-sided 97.5% upper confidence bound; the lower bound is shown with an arrow.</w:t>
      </w:r>
    </w:p>
    <w:p w14:paraId="30D3EA86" w14:textId="77777777" w:rsidR="004C3610" w:rsidRDefault="00000000">
      <w:pPr>
        <w:pStyle w:val="CaptionedFigure"/>
      </w:pPr>
      <w:r>
        <w:rPr>
          <w:noProof/>
        </w:rPr>
        <w:drawing>
          <wp:inline distT="0" distB="0" distL="0" distR="0" wp14:anchorId="6BEBCFAD" wp14:editId="508B07C6">
            <wp:extent cx="5334000" cy="1385462"/>
            <wp:effectExtent l="0" t="0" r="0" b="0"/>
            <wp:docPr id="30" name="Picture" descr="Figure 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descr="/mnt/agents/output/BMC儿科投稿图表_重绘/Figure_S3_outcomes_summary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5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D8ED12" w14:textId="77777777" w:rsidR="004C3610" w:rsidRDefault="00000000">
      <w:pPr>
        <w:pStyle w:val="ImageCaption"/>
      </w:pPr>
      <w:r>
        <w:t>Figure S3</w:t>
      </w:r>
    </w:p>
    <w:p w14:paraId="390BB5F0" w14:textId="77777777" w:rsidR="004C3610" w:rsidRDefault="00000000">
      <w:r>
        <w:pict w14:anchorId="00B60E60">
          <v:rect id="_x0000_i1029" style="width:0;height:1.5pt" o:hralign="center" o:hrstd="t" o:hr="t"/>
        </w:pict>
      </w:r>
    </w:p>
    <w:p w14:paraId="114F8F55" w14:textId="5FD786DA" w:rsidR="004C3610" w:rsidRDefault="00000000">
      <w:pPr>
        <w:pStyle w:val="2"/>
      </w:pPr>
      <w:bookmarkStart w:id="5" w:name="X42b444d77b63392862c9fc697468a58457c0d12"/>
      <w:bookmarkEnd w:id="4"/>
      <w:r>
        <w:t>Additional file 5: Table S</w:t>
      </w:r>
      <w:r w:rsidR="007E6048">
        <w:rPr>
          <w:rFonts w:hint="eastAsia"/>
          <w:lang w:eastAsia="zh-CN"/>
        </w:rPr>
        <w:t>2</w:t>
      </w:r>
      <w:r>
        <w:t>. Subgroup analysis of the primary outcome after propensity score matching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543"/>
        <w:gridCol w:w="857"/>
        <w:gridCol w:w="1541"/>
        <w:gridCol w:w="1613"/>
        <w:gridCol w:w="349"/>
        <w:gridCol w:w="482"/>
        <w:gridCol w:w="1530"/>
        <w:gridCol w:w="941"/>
      </w:tblGrid>
      <w:tr w:rsidR="004C3610" w14:paraId="305108FB" w14:textId="77777777" w:rsidTr="004C36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43A6CDF" w14:textId="77777777" w:rsidR="004C3610" w:rsidRDefault="00000000">
            <w:pPr>
              <w:pStyle w:val="Compact"/>
            </w:pPr>
            <w:r>
              <w:t>Subgroup</w:t>
            </w:r>
          </w:p>
        </w:tc>
        <w:tc>
          <w:tcPr>
            <w:tcW w:w="0" w:type="auto"/>
          </w:tcPr>
          <w:p w14:paraId="406F7B4E" w14:textId="77777777" w:rsidR="004C3610" w:rsidRDefault="00000000">
            <w:pPr>
              <w:pStyle w:val="Compact"/>
            </w:pPr>
            <w:r>
              <w:t>Pairs, n</w:t>
            </w:r>
          </w:p>
        </w:tc>
        <w:tc>
          <w:tcPr>
            <w:tcW w:w="0" w:type="auto"/>
          </w:tcPr>
          <w:p w14:paraId="0FDA4671" w14:textId="77777777" w:rsidR="004C3610" w:rsidRDefault="00000000">
            <w:pPr>
              <w:pStyle w:val="Compact"/>
            </w:pPr>
            <w:r>
              <w:t>Enema revisit, n/N (%)</w:t>
            </w:r>
          </w:p>
        </w:tc>
        <w:tc>
          <w:tcPr>
            <w:tcW w:w="0" w:type="auto"/>
          </w:tcPr>
          <w:p w14:paraId="43CD0E21" w14:textId="77777777" w:rsidR="004C3610" w:rsidRDefault="00000000">
            <w:pPr>
              <w:pStyle w:val="Compact"/>
            </w:pPr>
            <w:r>
              <w:t>Control revisit, n/N (%)</w:t>
            </w:r>
          </w:p>
        </w:tc>
        <w:tc>
          <w:tcPr>
            <w:tcW w:w="0" w:type="auto"/>
          </w:tcPr>
          <w:p w14:paraId="2CA3E0DB" w14:textId="77777777" w:rsidR="004C3610" w:rsidRDefault="00000000">
            <w:pPr>
              <w:pStyle w:val="Compact"/>
            </w:pPr>
            <w:r>
              <w:t>b</w:t>
            </w:r>
          </w:p>
        </w:tc>
        <w:tc>
          <w:tcPr>
            <w:tcW w:w="0" w:type="auto"/>
          </w:tcPr>
          <w:p w14:paraId="25F5F55F" w14:textId="77777777" w:rsidR="004C3610" w:rsidRDefault="00000000">
            <w:pPr>
              <w:pStyle w:val="Compact"/>
            </w:pPr>
            <w:r>
              <w:t>c</w:t>
            </w:r>
          </w:p>
        </w:tc>
        <w:tc>
          <w:tcPr>
            <w:tcW w:w="0" w:type="auto"/>
          </w:tcPr>
          <w:p w14:paraId="67D2FFBF" w14:textId="77777777" w:rsidR="004C3610" w:rsidRDefault="00000000">
            <w:pPr>
              <w:pStyle w:val="Compact"/>
            </w:pPr>
            <w:r>
              <w:t>OR (95% CI)</w:t>
            </w:r>
          </w:p>
        </w:tc>
        <w:tc>
          <w:tcPr>
            <w:tcW w:w="0" w:type="auto"/>
          </w:tcPr>
          <w:p w14:paraId="24AA321B" w14:textId="77777777" w:rsidR="004C3610" w:rsidRDefault="00000000">
            <w:pPr>
              <w:pStyle w:val="Compact"/>
            </w:pPr>
            <w:r>
              <w:t>P value</w:t>
            </w:r>
          </w:p>
        </w:tc>
      </w:tr>
      <w:tr w:rsidR="004C3610" w14:paraId="4E35726B" w14:textId="77777777">
        <w:tc>
          <w:tcPr>
            <w:tcW w:w="0" w:type="auto"/>
          </w:tcPr>
          <w:p w14:paraId="2FD2507D" w14:textId="77777777" w:rsidR="004C3610" w:rsidRDefault="00000000">
            <w:pPr>
              <w:pStyle w:val="Compact"/>
            </w:pPr>
            <w:r>
              <w:t>Overall</w:t>
            </w:r>
          </w:p>
        </w:tc>
        <w:tc>
          <w:tcPr>
            <w:tcW w:w="0" w:type="auto"/>
          </w:tcPr>
          <w:p w14:paraId="326693F1" w14:textId="77777777" w:rsidR="004C3610" w:rsidRDefault="00000000">
            <w:pPr>
              <w:pStyle w:val="Compact"/>
            </w:pPr>
            <w:r>
              <w:t>178</w:t>
            </w:r>
          </w:p>
        </w:tc>
        <w:tc>
          <w:tcPr>
            <w:tcW w:w="0" w:type="auto"/>
          </w:tcPr>
          <w:p w14:paraId="244657CC" w14:textId="77777777" w:rsidR="004C3610" w:rsidRDefault="00000000">
            <w:pPr>
              <w:pStyle w:val="Compact"/>
            </w:pPr>
            <w:r>
              <w:t>3/178 (1.69)</w:t>
            </w:r>
          </w:p>
        </w:tc>
        <w:tc>
          <w:tcPr>
            <w:tcW w:w="0" w:type="auto"/>
          </w:tcPr>
          <w:p w14:paraId="39A2FF62" w14:textId="77777777" w:rsidR="004C3610" w:rsidRDefault="00000000">
            <w:pPr>
              <w:pStyle w:val="Compact"/>
            </w:pPr>
            <w:r>
              <w:t>22/178 (12.36)</w:t>
            </w:r>
          </w:p>
        </w:tc>
        <w:tc>
          <w:tcPr>
            <w:tcW w:w="0" w:type="auto"/>
          </w:tcPr>
          <w:p w14:paraId="3D2C1703" w14:textId="77777777" w:rsidR="004C3610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5F7BA1B5" w14:textId="77777777" w:rsidR="004C3610" w:rsidRDefault="00000000">
            <w:pPr>
              <w:pStyle w:val="Compact"/>
            </w:pPr>
            <w:r>
              <w:t>20</w:t>
            </w:r>
          </w:p>
        </w:tc>
        <w:tc>
          <w:tcPr>
            <w:tcW w:w="0" w:type="auto"/>
          </w:tcPr>
          <w:p w14:paraId="24F791DE" w14:textId="77777777" w:rsidR="004C3610" w:rsidRDefault="00000000">
            <w:pPr>
              <w:pStyle w:val="Compact"/>
            </w:pPr>
            <w:r>
              <w:t>0.050 (0.007–0.373)</w:t>
            </w:r>
          </w:p>
        </w:tc>
        <w:tc>
          <w:tcPr>
            <w:tcW w:w="0" w:type="auto"/>
          </w:tcPr>
          <w:p w14:paraId="48A3C7D1" w14:textId="77777777" w:rsidR="004C3610" w:rsidRDefault="00000000">
            <w:pPr>
              <w:pStyle w:val="Compact"/>
            </w:pPr>
            <w:r>
              <w:t>&lt;0.001</w:t>
            </w:r>
          </w:p>
        </w:tc>
      </w:tr>
      <w:tr w:rsidR="004C3610" w14:paraId="56B3CDB2" w14:textId="77777777">
        <w:tc>
          <w:tcPr>
            <w:tcW w:w="0" w:type="auto"/>
          </w:tcPr>
          <w:p w14:paraId="73735660" w14:textId="77777777" w:rsidR="004C3610" w:rsidRDefault="00000000">
            <w:pPr>
              <w:pStyle w:val="Compact"/>
            </w:pPr>
            <w:r>
              <w:t>Non-diarrhea type</w:t>
            </w:r>
          </w:p>
        </w:tc>
        <w:tc>
          <w:tcPr>
            <w:tcW w:w="0" w:type="auto"/>
          </w:tcPr>
          <w:p w14:paraId="2AC5831C" w14:textId="77777777" w:rsidR="004C3610" w:rsidRDefault="00000000">
            <w:pPr>
              <w:pStyle w:val="Compact"/>
            </w:pPr>
            <w:r>
              <w:t>98</w:t>
            </w:r>
          </w:p>
        </w:tc>
        <w:tc>
          <w:tcPr>
            <w:tcW w:w="0" w:type="auto"/>
          </w:tcPr>
          <w:p w14:paraId="764381BD" w14:textId="77777777" w:rsidR="004C3610" w:rsidRDefault="00000000">
            <w:pPr>
              <w:pStyle w:val="Compact"/>
            </w:pPr>
            <w:r>
              <w:t>2/98 (2.04)</w:t>
            </w:r>
          </w:p>
        </w:tc>
        <w:tc>
          <w:tcPr>
            <w:tcW w:w="0" w:type="auto"/>
          </w:tcPr>
          <w:p w14:paraId="16D5352F" w14:textId="77777777" w:rsidR="004C3610" w:rsidRDefault="00000000">
            <w:pPr>
              <w:pStyle w:val="Compact"/>
            </w:pPr>
            <w:r>
              <w:t>11/98 (11.22)</w:t>
            </w:r>
          </w:p>
        </w:tc>
        <w:tc>
          <w:tcPr>
            <w:tcW w:w="0" w:type="auto"/>
          </w:tcPr>
          <w:p w14:paraId="0C6619EE" w14:textId="77777777" w:rsidR="004C3610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43FD685F" w14:textId="77777777" w:rsidR="004C3610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6B99E518" w14:textId="77777777" w:rsidR="004C3610" w:rsidRDefault="00000000">
            <w:pPr>
              <w:pStyle w:val="Compact"/>
            </w:pPr>
            <w:r>
              <w:t>0.100 (0.013–0.781)</w:t>
            </w:r>
          </w:p>
        </w:tc>
        <w:tc>
          <w:tcPr>
            <w:tcW w:w="0" w:type="auto"/>
          </w:tcPr>
          <w:p w14:paraId="09F6A8BB" w14:textId="77777777" w:rsidR="004C3610" w:rsidRDefault="00000000">
            <w:pPr>
              <w:pStyle w:val="Compact"/>
            </w:pPr>
            <w:r>
              <w:t>0.012</w:t>
            </w:r>
          </w:p>
        </w:tc>
      </w:tr>
      <w:tr w:rsidR="004C3610" w14:paraId="76CC1AE9" w14:textId="77777777">
        <w:tc>
          <w:tcPr>
            <w:tcW w:w="0" w:type="auto"/>
          </w:tcPr>
          <w:p w14:paraId="4AE7159B" w14:textId="77777777" w:rsidR="004C3610" w:rsidRDefault="00000000">
            <w:pPr>
              <w:pStyle w:val="Compact"/>
            </w:pPr>
            <w:r>
              <w:t>Diarrhea type</w:t>
            </w:r>
          </w:p>
        </w:tc>
        <w:tc>
          <w:tcPr>
            <w:tcW w:w="0" w:type="auto"/>
          </w:tcPr>
          <w:p w14:paraId="1E34C363" w14:textId="77777777" w:rsidR="004C3610" w:rsidRDefault="00000000">
            <w:pPr>
              <w:pStyle w:val="Compact"/>
            </w:pPr>
            <w:r>
              <w:t>80</w:t>
            </w:r>
          </w:p>
        </w:tc>
        <w:tc>
          <w:tcPr>
            <w:tcW w:w="0" w:type="auto"/>
          </w:tcPr>
          <w:p w14:paraId="69386BE7" w14:textId="77777777" w:rsidR="004C3610" w:rsidRDefault="00000000">
            <w:pPr>
              <w:pStyle w:val="Compact"/>
            </w:pPr>
            <w:r>
              <w:t>1/80 (1.25)</w:t>
            </w:r>
          </w:p>
        </w:tc>
        <w:tc>
          <w:tcPr>
            <w:tcW w:w="0" w:type="auto"/>
          </w:tcPr>
          <w:p w14:paraId="34906CF0" w14:textId="77777777" w:rsidR="004C3610" w:rsidRDefault="00000000">
            <w:pPr>
              <w:pStyle w:val="Compact"/>
            </w:pPr>
            <w:r>
              <w:t>11/80 (13.75)</w:t>
            </w:r>
          </w:p>
        </w:tc>
        <w:tc>
          <w:tcPr>
            <w:tcW w:w="0" w:type="auto"/>
          </w:tcPr>
          <w:p w14:paraId="23AFFBDF" w14:textId="77777777" w:rsidR="004C3610" w:rsidRDefault="00000000">
            <w:pPr>
              <w:pStyle w:val="Compact"/>
            </w:pPr>
            <w:r>
              <w:t>0</w:t>
            </w:r>
          </w:p>
        </w:tc>
        <w:tc>
          <w:tcPr>
            <w:tcW w:w="0" w:type="auto"/>
          </w:tcPr>
          <w:p w14:paraId="315E54D5" w14:textId="77777777" w:rsidR="004C3610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0AE93969" w14:textId="77777777" w:rsidR="004C3610" w:rsidRDefault="00000000">
            <w:pPr>
              <w:pStyle w:val="Compact"/>
            </w:pPr>
            <w:r>
              <w:t>0.048 (0.003–0.813)*</w:t>
            </w:r>
          </w:p>
        </w:tc>
        <w:tc>
          <w:tcPr>
            <w:tcW w:w="0" w:type="auto"/>
          </w:tcPr>
          <w:p w14:paraId="304C364E" w14:textId="77777777" w:rsidR="004C3610" w:rsidRDefault="00000000">
            <w:pPr>
              <w:pStyle w:val="Compact"/>
            </w:pPr>
            <w:r>
              <w:t>0.002</w:t>
            </w:r>
          </w:p>
        </w:tc>
      </w:tr>
    </w:tbl>
    <w:p w14:paraId="0F314EEA" w14:textId="77777777" w:rsidR="004C3610" w:rsidRDefault="00000000">
      <w:pPr>
        <w:pStyle w:val="a0"/>
      </w:pPr>
      <w:r>
        <w:t>b, number of pairs in which only the enema group revisited; c, number of pairs in which only the control group revisited. P for interaction = 0.678. *OR estimated with Haldane-Anscombe continuity correction (exact McNemar OR = 0).</w:t>
      </w:r>
    </w:p>
    <w:p w14:paraId="71AD1AA1" w14:textId="77777777" w:rsidR="004C3610" w:rsidRDefault="00000000">
      <w:r>
        <w:pict w14:anchorId="63522B60">
          <v:rect id="_x0000_i1030" style="width:0;height:1.5pt" o:hralign="center" o:hrstd="t" o:hr="t"/>
        </w:pict>
      </w:r>
    </w:p>
    <w:p w14:paraId="18E39876" w14:textId="77777777" w:rsidR="004C3610" w:rsidRDefault="00000000">
      <w:pPr>
        <w:pStyle w:val="2"/>
      </w:pPr>
      <w:bookmarkStart w:id="6" w:name="Xff2cd490f5bb205451b8422424d2e64a59aad32"/>
      <w:bookmarkEnd w:id="5"/>
      <w:r>
        <w:t>Additional file 6: Operational definitions of variables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894"/>
        <w:gridCol w:w="3259"/>
        <w:gridCol w:w="2285"/>
        <w:gridCol w:w="1418"/>
      </w:tblGrid>
      <w:tr w:rsidR="004C3610" w14:paraId="50649251" w14:textId="77777777" w:rsidTr="004C36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E5CB803" w14:textId="77777777" w:rsidR="004C3610" w:rsidRDefault="00000000">
            <w:pPr>
              <w:pStyle w:val="Compact"/>
            </w:pPr>
            <w:r>
              <w:t>Variable</w:t>
            </w:r>
          </w:p>
        </w:tc>
        <w:tc>
          <w:tcPr>
            <w:tcW w:w="0" w:type="auto"/>
          </w:tcPr>
          <w:p w14:paraId="760C406D" w14:textId="77777777" w:rsidR="004C3610" w:rsidRDefault="00000000">
            <w:pPr>
              <w:pStyle w:val="Compact"/>
            </w:pPr>
            <w:r>
              <w:t>Enema group</w:t>
            </w:r>
          </w:p>
        </w:tc>
        <w:tc>
          <w:tcPr>
            <w:tcW w:w="0" w:type="auto"/>
          </w:tcPr>
          <w:p w14:paraId="4F1080D2" w14:textId="77777777" w:rsidR="004C3610" w:rsidRDefault="00000000">
            <w:pPr>
              <w:pStyle w:val="Compact"/>
            </w:pPr>
            <w:r>
              <w:t>Control group</w:t>
            </w:r>
          </w:p>
        </w:tc>
        <w:tc>
          <w:tcPr>
            <w:tcW w:w="0" w:type="auto"/>
          </w:tcPr>
          <w:p w14:paraId="472ACF6E" w14:textId="77777777" w:rsidR="004C3610" w:rsidRDefault="00000000">
            <w:pPr>
              <w:pStyle w:val="Compact"/>
            </w:pPr>
            <w:r>
              <w:t>Type</w:t>
            </w:r>
          </w:p>
        </w:tc>
      </w:tr>
      <w:tr w:rsidR="004C3610" w14:paraId="11F937DB" w14:textId="77777777">
        <w:tc>
          <w:tcPr>
            <w:tcW w:w="0" w:type="auto"/>
          </w:tcPr>
          <w:p w14:paraId="3D4E01B8" w14:textId="77777777" w:rsidR="004C3610" w:rsidRDefault="00000000">
            <w:pPr>
              <w:pStyle w:val="Compact"/>
            </w:pPr>
            <w:r>
              <w:t>Age in months</w:t>
            </w:r>
          </w:p>
        </w:tc>
        <w:tc>
          <w:tcPr>
            <w:tcW w:w="0" w:type="auto"/>
          </w:tcPr>
          <w:p w14:paraId="74A4D6F1" w14:textId="77777777" w:rsidR="004C3610" w:rsidRDefault="00000000">
            <w:pPr>
              <w:pStyle w:val="Compact"/>
            </w:pPr>
            <w:r>
              <w:t>Directly from the “age in months” field</w:t>
            </w:r>
          </w:p>
        </w:tc>
        <w:tc>
          <w:tcPr>
            <w:tcW w:w="0" w:type="auto"/>
          </w:tcPr>
          <w:p w14:paraId="72D6D95A" w14:textId="77777777" w:rsidR="004C3610" w:rsidRDefault="00000000">
            <w:pPr>
              <w:pStyle w:val="Compact"/>
            </w:pPr>
            <w:r>
              <w:t>Converted from “X years X months” format</w:t>
            </w:r>
          </w:p>
        </w:tc>
        <w:tc>
          <w:tcPr>
            <w:tcW w:w="0" w:type="auto"/>
          </w:tcPr>
          <w:p w14:paraId="375D5100" w14:textId="77777777" w:rsidR="004C3610" w:rsidRDefault="00000000">
            <w:pPr>
              <w:pStyle w:val="Compact"/>
            </w:pPr>
            <w:r>
              <w:t>Continuous</w:t>
            </w:r>
          </w:p>
        </w:tc>
      </w:tr>
      <w:tr w:rsidR="004C3610" w14:paraId="3E6628C3" w14:textId="77777777">
        <w:tc>
          <w:tcPr>
            <w:tcW w:w="0" w:type="auto"/>
          </w:tcPr>
          <w:p w14:paraId="20E091A5" w14:textId="77777777" w:rsidR="004C3610" w:rsidRDefault="00000000">
            <w:pPr>
              <w:pStyle w:val="Compact"/>
            </w:pPr>
            <w:r>
              <w:t>Gender</w:t>
            </w:r>
          </w:p>
        </w:tc>
        <w:tc>
          <w:tcPr>
            <w:tcW w:w="0" w:type="auto"/>
          </w:tcPr>
          <w:p w14:paraId="62402C8C" w14:textId="77777777" w:rsidR="004C3610" w:rsidRDefault="00000000">
            <w:pPr>
              <w:pStyle w:val="Compact"/>
            </w:pPr>
            <w:r>
              <w:t>Male = 1, female = 0</w:t>
            </w:r>
          </w:p>
        </w:tc>
        <w:tc>
          <w:tcPr>
            <w:tcW w:w="0" w:type="auto"/>
          </w:tcPr>
          <w:p w14:paraId="52F9ED3F" w14:textId="77777777" w:rsidR="004C3610" w:rsidRDefault="00000000">
            <w:pPr>
              <w:pStyle w:val="Compact"/>
            </w:pPr>
            <w:r>
              <w:t>Male = 1, female = 0</w:t>
            </w:r>
          </w:p>
        </w:tc>
        <w:tc>
          <w:tcPr>
            <w:tcW w:w="0" w:type="auto"/>
          </w:tcPr>
          <w:p w14:paraId="590F636D" w14:textId="77777777" w:rsidR="004C3610" w:rsidRDefault="00000000">
            <w:pPr>
              <w:pStyle w:val="Compact"/>
            </w:pPr>
            <w:r>
              <w:t>Categorical</w:t>
            </w:r>
          </w:p>
        </w:tc>
      </w:tr>
      <w:tr w:rsidR="004C3610" w14:paraId="7AACC4A9" w14:textId="77777777">
        <w:tc>
          <w:tcPr>
            <w:tcW w:w="0" w:type="auto"/>
          </w:tcPr>
          <w:p w14:paraId="70368459" w14:textId="77777777" w:rsidR="004C3610" w:rsidRDefault="00000000">
            <w:pPr>
              <w:pStyle w:val="Compact"/>
            </w:pPr>
            <w:r>
              <w:t>Fever</w:t>
            </w:r>
          </w:p>
        </w:tc>
        <w:tc>
          <w:tcPr>
            <w:tcW w:w="0" w:type="auto"/>
          </w:tcPr>
          <w:p w14:paraId="76803D6B" w14:textId="77777777" w:rsidR="004C3610" w:rsidRDefault="00000000">
            <w:pPr>
              <w:pStyle w:val="Compact"/>
            </w:pPr>
            <w:r>
              <w:t>“Fever” in presenting complaint = 1</w:t>
            </w:r>
          </w:p>
        </w:tc>
        <w:tc>
          <w:tcPr>
            <w:tcW w:w="0" w:type="auto"/>
          </w:tcPr>
          <w:p w14:paraId="30C13213" w14:textId="77777777" w:rsidR="004C3610" w:rsidRDefault="00000000">
            <w:pPr>
              <w:pStyle w:val="Compact"/>
            </w:pPr>
            <w:r>
              <w:t>“Fever” in presenting complaint = 1</w:t>
            </w:r>
          </w:p>
        </w:tc>
        <w:tc>
          <w:tcPr>
            <w:tcW w:w="0" w:type="auto"/>
          </w:tcPr>
          <w:p w14:paraId="7EAAD4A5" w14:textId="77777777" w:rsidR="004C3610" w:rsidRDefault="00000000">
            <w:pPr>
              <w:pStyle w:val="Compact"/>
            </w:pPr>
            <w:r>
              <w:t>Binary</w:t>
            </w:r>
          </w:p>
        </w:tc>
      </w:tr>
      <w:tr w:rsidR="004C3610" w14:paraId="185FE510" w14:textId="77777777">
        <w:tc>
          <w:tcPr>
            <w:tcW w:w="0" w:type="auto"/>
          </w:tcPr>
          <w:p w14:paraId="51017803" w14:textId="77777777" w:rsidR="004C3610" w:rsidRDefault="00000000">
            <w:pPr>
              <w:pStyle w:val="Compact"/>
            </w:pPr>
            <w:r>
              <w:t>Intravenous fluid</w:t>
            </w:r>
          </w:p>
        </w:tc>
        <w:tc>
          <w:tcPr>
            <w:tcW w:w="0" w:type="auto"/>
          </w:tcPr>
          <w:p w14:paraId="4065E53B" w14:textId="77777777" w:rsidR="004C3610" w:rsidRDefault="00000000">
            <w:pPr>
              <w:pStyle w:val="Compact"/>
            </w:pPr>
            <w:r>
              <w:t>“Intravenous fluid” recorded as “yes”</w:t>
            </w:r>
          </w:p>
        </w:tc>
        <w:tc>
          <w:tcPr>
            <w:tcW w:w="0" w:type="auto"/>
          </w:tcPr>
          <w:p w14:paraId="2017CF9E" w14:textId="77777777" w:rsidR="004C3610" w:rsidRDefault="00000000">
            <w:pPr>
              <w:pStyle w:val="Compact"/>
            </w:pPr>
            <w:r>
              <w:t>“Infusion” field non-empty = 1</w:t>
            </w:r>
          </w:p>
        </w:tc>
        <w:tc>
          <w:tcPr>
            <w:tcW w:w="0" w:type="auto"/>
          </w:tcPr>
          <w:p w14:paraId="4C84A94E" w14:textId="77777777" w:rsidR="004C3610" w:rsidRDefault="00000000">
            <w:pPr>
              <w:pStyle w:val="Compact"/>
            </w:pPr>
            <w:r>
              <w:t>Binary</w:t>
            </w:r>
          </w:p>
        </w:tc>
      </w:tr>
      <w:tr w:rsidR="004C3610" w14:paraId="317D052B" w14:textId="77777777">
        <w:tc>
          <w:tcPr>
            <w:tcW w:w="0" w:type="auto"/>
          </w:tcPr>
          <w:p w14:paraId="31E3547B" w14:textId="77777777" w:rsidR="004C3610" w:rsidRDefault="00000000">
            <w:pPr>
              <w:pStyle w:val="Compact"/>
            </w:pPr>
            <w:r>
              <w:t>Non-diarrhea presentation</w:t>
            </w:r>
          </w:p>
        </w:tc>
        <w:tc>
          <w:tcPr>
            <w:tcW w:w="0" w:type="auto"/>
          </w:tcPr>
          <w:p w14:paraId="792CB8F7" w14:textId="77777777" w:rsidR="004C3610" w:rsidRDefault="00000000">
            <w:pPr>
              <w:pStyle w:val="Compact"/>
            </w:pPr>
            <w:r>
              <w:t>“Diarrhea in presenting complaint” recorded as “no”</w:t>
            </w:r>
          </w:p>
        </w:tc>
        <w:tc>
          <w:tcPr>
            <w:tcW w:w="0" w:type="auto"/>
          </w:tcPr>
          <w:p w14:paraId="43C0C41B" w14:textId="77777777" w:rsidR="004C3610" w:rsidRDefault="00000000">
            <w:pPr>
              <w:pStyle w:val="Compact"/>
            </w:pPr>
            <w:r>
              <w:t>Absence of “diarrhea/loose stool” keywords in complaint = 1</w:t>
            </w:r>
          </w:p>
        </w:tc>
        <w:tc>
          <w:tcPr>
            <w:tcW w:w="0" w:type="auto"/>
          </w:tcPr>
          <w:p w14:paraId="55301AB2" w14:textId="77777777" w:rsidR="004C3610" w:rsidRDefault="00000000">
            <w:pPr>
              <w:pStyle w:val="Compact"/>
            </w:pPr>
            <w:r>
              <w:t>Binary</w:t>
            </w:r>
          </w:p>
        </w:tc>
      </w:tr>
      <w:tr w:rsidR="004C3610" w14:paraId="68BCEB9E" w14:textId="77777777">
        <w:tc>
          <w:tcPr>
            <w:tcW w:w="0" w:type="auto"/>
          </w:tcPr>
          <w:p w14:paraId="243C08AE" w14:textId="77777777" w:rsidR="004C3610" w:rsidRDefault="00000000">
            <w:pPr>
              <w:pStyle w:val="Compact"/>
            </w:pPr>
            <w:r>
              <w:t>14-day unplanned revisit</w:t>
            </w:r>
          </w:p>
        </w:tc>
        <w:tc>
          <w:tcPr>
            <w:tcW w:w="0" w:type="auto"/>
          </w:tcPr>
          <w:p w14:paraId="2E25CEAF" w14:textId="77777777" w:rsidR="004C3610" w:rsidRDefault="00000000">
            <w:pPr>
              <w:pStyle w:val="Compact"/>
            </w:pPr>
            <w:r>
              <w:t>Record flagged “follow-up visit” within 14 calendar days of baseline registration, with a different registration time, within the same serial number; scheduled rechecks excluded</w:t>
            </w:r>
          </w:p>
        </w:tc>
        <w:tc>
          <w:tcPr>
            <w:tcW w:w="0" w:type="auto"/>
          </w:tcPr>
          <w:p w14:paraId="7B76D062" w14:textId="77777777" w:rsidR="004C3610" w:rsidRDefault="00000000">
            <w:pPr>
              <w:pStyle w:val="Compact"/>
            </w:pPr>
            <w:r>
              <w:t>Same</w:t>
            </w:r>
          </w:p>
        </w:tc>
        <w:tc>
          <w:tcPr>
            <w:tcW w:w="0" w:type="auto"/>
          </w:tcPr>
          <w:p w14:paraId="18254461" w14:textId="77777777" w:rsidR="004C3610" w:rsidRDefault="00000000">
            <w:pPr>
              <w:pStyle w:val="Compact"/>
            </w:pPr>
            <w:r>
              <w:t>Binary</w:t>
            </w:r>
          </w:p>
        </w:tc>
      </w:tr>
      <w:tr w:rsidR="004C3610" w14:paraId="6D456CC8" w14:textId="77777777">
        <w:tc>
          <w:tcPr>
            <w:tcW w:w="0" w:type="auto"/>
          </w:tcPr>
          <w:p w14:paraId="32A7F6F3" w14:textId="77777777" w:rsidR="004C3610" w:rsidRDefault="00000000">
            <w:pPr>
              <w:pStyle w:val="Compact"/>
            </w:pPr>
            <w:r>
              <w:t>Revisit time</w:t>
            </w:r>
          </w:p>
        </w:tc>
        <w:tc>
          <w:tcPr>
            <w:tcW w:w="0" w:type="auto"/>
          </w:tcPr>
          <w:p w14:paraId="70B986FD" w14:textId="77777777" w:rsidR="004C3610" w:rsidRDefault="00000000">
            <w:pPr>
              <w:pStyle w:val="Compact"/>
            </w:pPr>
            <w:r>
              <w:t>Days from baseline registration to first valid follow-up registration; censored at 14 days if no revisit</w:t>
            </w:r>
          </w:p>
        </w:tc>
        <w:tc>
          <w:tcPr>
            <w:tcW w:w="0" w:type="auto"/>
          </w:tcPr>
          <w:p w14:paraId="187C9964" w14:textId="77777777" w:rsidR="004C3610" w:rsidRDefault="00000000">
            <w:pPr>
              <w:pStyle w:val="Compact"/>
            </w:pPr>
            <w:r>
              <w:t>Same</w:t>
            </w:r>
          </w:p>
        </w:tc>
        <w:tc>
          <w:tcPr>
            <w:tcW w:w="0" w:type="auto"/>
          </w:tcPr>
          <w:p w14:paraId="7F154001" w14:textId="77777777" w:rsidR="004C3610" w:rsidRDefault="00000000">
            <w:pPr>
              <w:pStyle w:val="Compact"/>
            </w:pPr>
            <w:r>
              <w:t>Time-to-event</w:t>
            </w:r>
          </w:p>
        </w:tc>
      </w:tr>
      <w:tr w:rsidR="004C3610" w14:paraId="0F37D53D" w14:textId="77777777">
        <w:tc>
          <w:tcPr>
            <w:tcW w:w="0" w:type="auto"/>
          </w:tcPr>
          <w:p w14:paraId="1B6B2FC4" w14:textId="77777777" w:rsidR="004C3610" w:rsidRDefault="00000000">
            <w:pPr>
              <w:pStyle w:val="Compact"/>
            </w:pPr>
            <w:r>
              <w:t>Antibiotic use</w:t>
            </w:r>
          </w:p>
        </w:tc>
        <w:tc>
          <w:tcPr>
            <w:tcW w:w="0" w:type="auto"/>
          </w:tcPr>
          <w:p w14:paraId="7A143676" w14:textId="77777777" w:rsidR="004C3610" w:rsidRDefault="00000000">
            <w:pPr>
              <w:pStyle w:val="Compact"/>
            </w:pPr>
            <w:r>
              <w:t>“Antibiotic use” recorded as “yes”</w:t>
            </w:r>
          </w:p>
        </w:tc>
        <w:tc>
          <w:tcPr>
            <w:tcW w:w="0" w:type="auto"/>
          </w:tcPr>
          <w:p w14:paraId="747A38E9" w14:textId="77777777" w:rsidR="004C3610" w:rsidRDefault="00000000">
            <w:pPr>
              <w:pStyle w:val="Compact"/>
            </w:pPr>
            <w:r>
              <w:t>“Antibiotic” field non-empty = 1</w:t>
            </w:r>
          </w:p>
        </w:tc>
        <w:tc>
          <w:tcPr>
            <w:tcW w:w="0" w:type="auto"/>
          </w:tcPr>
          <w:p w14:paraId="0FE64027" w14:textId="77777777" w:rsidR="004C3610" w:rsidRDefault="00000000">
            <w:pPr>
              <w:pStyle w:val="Compact"/>
            </w:pPr>
            <w:r>
              <w:t>Binary</w:t>
            </w:r>
          </w:p>
        </w:tc>
      </w:tr>
      <w:tr w:rsidR="004C3610" w14:paraId="5E1E86AC" w14:textId="77777777">
        <w:tc>
          <w:tcPr>
            <w:tcW w:w="0" w:type="auto"/>
          </w:tcPr>
          <w:p w14:paraId="6BFC3A0F" w14:textId="77777777" w:rsidR="004C3610" w:rsidRDefault="00000000">
            <w:pPr>
              <w:pStyle w:val="Compact"/>
            </w:pPr>
            <w:r>
              <w:t>Hospitalization</w:t>
            </w:r>
          </w:p>
        </w:tc>
        <w:tc>
          <w:tcPr>
            <w:tcW w:w="0" w:type="auto"/>
          </w:tcPr>
          <w:p w14:paraId="464C346E" w14:textId="77777777" w:rsidR="004C3610" w:rsidRDefault="00000000">
            <w:pPr>
              <w:pStyle w:val="Compact"/>
            </w:pPr>
            <w:r>
              <w:t>“Hospitalized” recorded as “yes”</w:t>
            </w:r>
          </w:p>
        </w:tc>
        <w:tc>
          <w:tcPr>
            <w:tcW w:w="0" w:type="auto"/>
          </w:tcPr>
          <w:p w14:paraId="748437D9" w14:textId="77777777" w:rsidR="004C3610" w:rsidRDefault="00000000">
            <w:pPr>
              <w:pStyle w:val="Compact"/>
            </w:pPr>
            <w:r>
              <w:t>“Hospitalized” recorded as “yes” = 1</w:t>
            </w:r>
          </w:p>
        </w:tc>
        <w:tc>
          <w:tcPr>
            <w:tcW w:w="0" w:type="auto"/>
          </w:tcPr>
          <w:p w14:paraId="0F5F8283" w14:textId="77777777" w:rsidR="004C3610" w:rsidRDefault="00000000">
            <w:pPr>
              <w:pStyle w:val="Compact"/>
            </w:pPr>
            <w:r>
              <w:t>Binary</w:t>
            </w:r>
          </w:p>
        </w:tc>
      </w:tr>
      <w:tr w:rsidR="004C3610" w14:paraId="52879E39" w14:textId="77777777">
        <w:tc>
          <w:tcPr>
            <w:tcW w:w="0" w:type="auto"/>
          </w:tcPr>
          <w:p w14:paraId="54215F55" w14:textId="77777777" w:rsidR="004C3610" w:rsidRDefault="00000000">
            <w:pPr>
              <w:pStyle w:val="Compact"/>
            </w:pPr>
            <w:r>
              <w:t>Symptom duration ≥3 days</w:t>
            </w:r>
          </w:p>
        </w:tc>
        <w:tc>
          <w:tcPr>
            <w:tcW w:w="0" w:type="auto"/>
          </w:tcPr>
          <w:p w14:paraId="1F531A78" w14:textId="77777777" w:rsidR="004C3610" w:rsidRDefault="00000000">
            <w:pPr>
              <w:pStyle w:val="Compact"/>
            </w:pPr>
            <w:r>
              <w:t>Interval from baseline registration to last follow-up registration within the same serial number ≥3 calendar days (visit-based proxy, subject to information bias)</w:t>
            </w:r>
          </w:p>
        </w:tc>
        <w:tc>
          <w:tcPr>
            <w:tcW w:w="0" w:type="auto"/>
          </w:tcPr>
          <w:p w14:paraId="522B3839" w14:textId="77777777" w:rsidR="004C3610" w:rsidRDefault="00000000">
            <w:pPr>
              <w:pStyle w:val="Compact"/>
            </w:pPr>
            <w:r>
              <w:t>Same</w:t>
            </w:r>
          </w:p>
        </w:tc>
        <w:tc>
          <w:tcPr>
            <w:tcW w:w="0" w:type="auto"/>
          </w:tcPr>
          <w:p w14:paraId="5F18B93F" w14:textId="77777777" w:rsidR="004C3610" w:rsidRDefault="00000000">
            <w:pPr>
              <w:pStyle w:val="Compact"/>
            </w:pPr>
            <w:r>
              <w:t>Binary</w:t>
            </w:r>
          </w:p>
        </w:tc>
      </w:tr>
    </w:tbl>
    <w:p w14:paraId="37CDBF9B" w14:textId="77777777" w:rsidR="004C3610" w:rsidRDefault="00000000">
      <w:r>
        <w:t>Note: The unit of analysis was the patient serial number, representing a single acute episode rather than a permanent patient identity. Independent episodes occurring more than 14 days apart in the same child were counted under separate patient serial numbers.</w:t>
      </w:r>
    </w:p>
    <w:p w14:paraId="6B3C8169" w14:textId="77777777" w:rsidR="004C3610" w:rsidRDefault="00000000">
      <w:pPr>
        <w:pStyle w:val="a0"/>
      </w:pPr>
      <w:r>
        <w:t>Missing rates for all variables were &lt;5%; continuous variables were imputed with the median and categorical variables with the mode.</w:t>
      </w:r>
    </w:p>
    <w:p w14:paraId="0B3D8CC3" w14:textId="77777777" w:rsidR="004C3610" w:rsidRDefault="00000000">
      <w:r>
        <w:pict w14:anchorId="6256EC0C">
          <v:rect id="_x0000_i1031" style="width:0;height:1.5pt" o:hralign="center" o:hrstd="t" o:hr="t"/>
        </w:pict>
      </w:r>
    </w:p>
    <w:p w14:paraId="534DD2CE" w14:textId="77777777" w:rsidR="004C3610" w:rsidRDefault="00000000">
      <w:pPr>
        <w:pStyle w:val="2"/>
      </w:pPr>
      <w:bookmarkStart w:id="7" w:name="additional-files-79单独提交不嵌于本文档"/>
      <w:bookmarkEnd w:id="6"/>
      <w:r>
        <w:t>Additional files 7–9</w:t>
      </w:r>
      <w:r>
        <w:t>（单独提交，不嵌于本文档）</w:t>
      </w:r>
    </w:p>
    <w:p w14:paraId="6B9D0AFD" w14:textId="77777777" w:rsidR="004C3610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Additional file 7</w:t>
      </w:r>
      <w:r>
        <w:t>: STROBE checklist</w:t>
      </w:r>
      <w:r>
        <w:t>（含页码与行号）</w:t>
      </w:r>
    </w:p>
    <w:p w14:paraId="02BB8A2B" w14:textId="77777777" w:rsidR="004C3610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Additional file 8</w:t>
      </w:r>
      <w:r>
        <w:t>: RECORD checklist</w:t>
      </w:r>
      <w:r>
        <w:t>（含页码与行号）</w:t>
      </w:r>
    </w:p>
    <w:p w14:paraId="6FB049A4" w14:textId="77777777" w:rsidR="004C3610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Additional file 9</w:t>
      </w:r>
      <w:r>
        <w:t>: Statistical analysis code</w:t>
      </w:r>
      <w:r>
        <w:t>（</w:t>
      </w:r>
      <w:r>
        <w:t>Python 3.13</w:t>
      </w:r>
      <w:r>
        <w:t>）</w:t>
      </w:r>
      <w:bookmarkEnd w:id="0"/>
      <w:bookmarkEnd w:id="7"/>
    </w:p>
    <w:sectPr w:rsidR="004C3610">
      <w:endnotePr>
        <w:numFmt w:val="decimal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30F63" w14:textId="77777777" w:rsidR="00F70194" w:rsidRDefault="00F70194">
      <w:pPr>
        <w:spacing w:after="0"/>
      </w:pPr>
      <w:r>
        <w:separator/>
      </w:r>
    </w:p>
  </w:endnote>
  <w:endnote w:type="continuationSeparator" w:id="0">
    <w:p w14:paraId="1EC54BB1" w14:textId="77777777" w:rsidR="00F70194" w:rsidRDefault="00F701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A19C0" w14:textId="77777777" w:rsidR="00F70194" w:rsidRDefault="00F70194">
      <w:r>
        <w:separator/>
      </w:r>
    </w:p>
  </w:footnote>
  <w:footnote w:type="continuationSeparator" w:id="0">
    <w:p w14:paraId="5B379231" w14:textId="77777777" w:rsidR="00F70194" w:rsidRDefault="00F70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7E04F7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4CD608C2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 w16cid:durableId="753942298">
    <w:abstractNumId w:val="0"/>
  </w:num>
  <w:num w:numId="2" w16cid:durableId="1688674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610"/>
    <w:rsid w:val="004C3610"/>
    <w:rsid w:val="007E6048"/>
    <w:rsid w:val="00CA683A"/>
    <w:rsid w:val="00F7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4A2B5"/>
  <w15:docId w15:val="{FA861064-411B-468F-8DDD-C488F0DD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题注 字符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shaohua liu</cp:lastModifiedBy>
  <cp:revision>2</cp:revision>
  <dcterms:created xsi:type="dcterms:W3CDTF">2026-07-25T09:59:00Z</dcterms:created>
  <dcterms:modified xsi:type="dcterms:W3CDTF">2026-07-26T01:16:00Z</dcterms:modified>
</cp:coreProperties>
</file>