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9F97" w14:textId="7DCAD0B1" w:rsidR="001500E3" w:rsidRPr="001500E3" w:rsidRDefault="001500E3">
      <w:pPr>
        <w:rPr>
          <w:rFonts w:ascii="T" w:hAnsi="T" w:hint="eastAsia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Table1. Bone marrow aspiration examination</w:t>
      </w:r>
      <w:r w:rsidR="00E20DBF" w:rsidRPr="005D6C87">
        <w:rPr>
          <w:rFonts w:ascii="Times New Roman" w:hAnsi="Times New Roman" w:cs="Times New Roman"/>
          <w:sz w:val="24"/>
          <w:szCs w:val="24"/>
        </w:rPr>
        <w:t xml:space="preserve"> </w:t>
      </w:r>
      <w:r w:rsidRPr="005D6C87">
        <w:rPr>
          <w:rFonts w:ascii="Times New Roman" w:hAnsi="Times New Roman" w:cs="Times New Roman"/>
          <w:sz w:val="24"/>
          <w:szCs w:val="24"/>
        </w:rPr>
        <w:t>and Special blood tes</w:t>
      </w:r>
      <w:r w:rsidRPr="001500E3">
        <w:rPr>
          <w:rFonts w:ascii="T" w:hAnsi="T"/>
          <w:sz w:val="24"/>
          <w:szCs w:val="24"/>
        </w:rPr>
        <w:t>ts</w:t>
      </w:r>
    </w:p>
    <w:p w14:paraId="22B87C0B" w14:textId="623F5504" w:rsidR="001500E3" w:rsidRDefault="00587FAE">
      <w:r>
        <w:rPr>
          <w:noProof/>
        </w:rPr>
        <w:drawing>
          <wp:inline distT="0" distB="0" distL="0" distR="0" wp14:anchorId="32AD7483" wp14:editId="73FC7643">
            <wp:extent cx="5501640" cy="3560585"/>
            <wp:effectExtent l="0" t="0" r="3810" b="190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146" cy="356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EA60" w14:textId="77777777" w:rsidR="00BC4AD7" w:rsidRPr="005D6C87" w:rsidRDefault="001500E3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Bone marrow aspiration examination</w:t>
      </w:r>
      <w:r w:rsidR="00D45942" w:rsidRPr="005D6C87">
        <w:rPr>
          <w:rFonts w:ascii="Times New Roman" w:hAnsi="Times New Roman" w:cs="Times New Roman"/>
          <w:sz w:val="24"/>
          <w:szCs w:val="24"/>
        </w:rPr>
        <w:t xml:space="preserve"> showed that dysplastic erythroid lineage cells</w:t>
      </w:r>
    </w:p>
    <w:p w14:paraId="65C1001E" w14:textId="77777777" w:rsidR="00BC4AD7" w:rsidRPr="005D6C87" w:rsidRDefault="00BC4AD7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 xml:space="preserve">with </w:t>
      </w:r>
      <w:r w:rsidR="00D45942" w:rsidRPr="005D6C87">
        <w:rPr>
          <w:rFonts w:ascii="Times New Roman" w:hAnsi="Times New Roman" w:cs="Times New Roman"/>
          <w:sz w:val="24"/>
          <w:szCs w:val="24"/>
        </w:rPr>
        <w:t>nuclear atypia w</w:t>
      </w:r>
      <w:r w:rsidR="00DD3EA3" w:rsidRPr="005D6C87">
        <w:rPr>
          <w:rFonts w:ascii="Times New Roman" w:hAnsi="Times New Roman" w:cs="Times New Roman"/>
          <w:sz w:val="24"/>
          <w:szCs w:val="24"/>
        </w:rPr>
        <w:t>as</w:t>
      </w:r>
      <w:r w:rsidR="00D45942" w:rsidRPr="005D6C87">
        <w:rPr>
          <w:rFonts w:ascii="Times New Roman" w:hAnsi="Times New Roman" w:cs="Times New Roman"/>
          <w:sz w:val="24"/>
          <w:szCs w:val="24"/>
        </w:rPr>
        <w:t xml:space="preserve"> observed, and megakaryocytes showed poor platelet production</w:t>
      </w:r>
    </w:p>
    <w:p w14:paraId="21F9AFD5" w14:textId="77777777" w:rsidR="00BC4AD7" w:rsidRPr="005D6C87" w:rsidRDefault="00D45942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and</w:t>
      </w:r>
      <w:r w:rsidR="00BC4AD7" w:rsidRPr="005D6C87">
        <w:rPr>
          <w:rFonts w:ascii="Times New Roman" w:hAnsi="Times New Roman" w:cs="Times New Roman"/>
          <w:sz w:val="24"/>
          <w:szCs w:val="24"/>
        </w:rPr>
        <w:t xml:space="preserve"> </w:t>
      </w:r>
      <w:r w:rsidRPr="005D6C87">
        <w:rPr>
          <w:rFonts w:ascii="Times New Roman" w:hAnsi="Times New Roman" w:cs="Times New Roman"/>
          <w:sz w:val="24"/>
          <w:szCs w:val="24"/>
        </w:rPr>
        <w:t>release ability. Blast cells accounted for 1.4% of marrow cells</w:t>
      </w:r>
      <w:r w:rsidR="00DD3EA3" w:rsidRPr="005D6C87">
        <w:rPr>
          <w:rFonts w:ascii="Times New Roman" w:hAnsi="Times New Roman" w:cs="Times New Roman"/>
          <w:sz w:val="24"/>
          <w:szCs w:val="24"/>
        </w:rPr>
        <w:t>. WT1 mRNA was</w:t>
      </w:r>
    </w:p>
    <w:p w14:paraId="5B444BAF" w14:textId="77777777" w:rsidR="00587FAE" w:rsidRPr="005D6C87" w:rsidRDefault="00DD3EA3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elevated</w:t>
      </w:r>
      <w:r w:rsidR="00BC4AD7" w:rsidRPr="005D6C87">
        <w:rPr>
          <w:rFonts w:ascii="Times New Roman" w:hAnsi="Times New Roman" w:cs="Times New Roman"/>
          <w:sz w:val="24"/>
          <w:szCs w:val="24"/>
        </w:rPr>
        <w:t xml:space="preserve"> </w:t>
      </w:r>
      <w:r w:rsidRPr="005D6C87">
        <w:rPr>
          <w:rFonts w:ascii="Times New Roman" w:hAnsi="Times New Roman" w:cs="Times New Roman"/>
          <w:sz w:val="24"/>
          <w:szCs w:val="24"/>
        </w:rPr>
        <w:t xml:space="preserve">(690 copies/μg RNA). No viral reactivation, including </w:t>
      </w:r>
      <w:r w:rsidR="00587FAE" w:rsidRPr="005D6C87">
        <w:rPr>
          <w:rFonts w:ascii="Times New Roman" w:hAnsi="Times New Roman" w:cs="Times New Roman"/>
          <w:sz w:val="24"/>
          <w:szCs w:val="24"/>
        </w:rPr>
        <w:t>Parvovirus B-19</w:t>
      </w:r>
      <w:r w:rsidRPr="005D6C87">
        <w:rPr>
          <w:rFonts w:ascii="Times New Roman" w:hAnsi="Times New Roman" w:cs="Times New Roman"/>
          <w:sz w:val="24"/>
          <w:szCs w:val="24"/>
        </w:rPr>
        <w:t xml:space="preserve">, was </w:t>
      </w:r>
    </w:p>
    <w:p w14:paraId="18615EA6" w14:textId="7151695F" w:rsidR="001500E3" w:rsidRPr="005D6C87" w:rsidRDefault="00DD3EA3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detected, and the</w:t>
      </w:r>
      <w:r w:rsidR="00587FAE" w:rsidRPr="005D6C87">
        <w:rPr>
          <w:rFonts w:ascii="Times New Roman" w:hAnsi="Times New Roman" w:cs="Times New Roman"/>
          <w:sz w:val="24"/>
          <w:szCs w:val="24"/>
        </w:rPr>
        <w:t xml:space="preserve"> </w:t>
      </w:r>
      <w:r w:rsidRPr="005D6C87">
        <w:rPr>
          <w:rFonts w:ascii="Times New Roman" w:hAnsi="Times New Roman" w:cs="Times New Roman"/>
          <w:sz w:val="24"/>
          <w:szCs w:val="24"/>
        </w:rPr>
        <w:t>serum zinc and copper levels were within the normal ranges.</w:t>
      </w:r>
    </w:p>
    <w:p w14:paraId="64E53D25" w14:textId="77777777" w:rsidR="00587FAE" w:rsidRPr="005D6C87" w:rsidRDefault="00BC4AD7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 xml:space="preserve">Abbreviations: cytomegalovirus, CMV; Epstein-Barr virus, EBV; </w:t>
      </w:r>
      <w:r w:rsidR="00587FAE" w:rsidRPr="005D6C87">
        <w:rPr>
          <w:rFonts w:ascii="Times New Roman" w:hAnsi="Times New Roman" w:cs="Times New Roman"/>
          <w:sz w:val="24"/>
          <w:szCs w:val="24"/>
        </w:rPr>
        <w:t xml:space="preserve">Human herpesvirus 6, </w:t>
      </w:r>
    </w:p>
    <w:p w14:paraId="57E0A174" w14:textId="6ABCB7D4" w:rsidR="00587FAE" w:rsidRPr="005D6C87" w:rsidRDefault="00587FAE">
      <w:pPr>
        <w:rPr>
          <w:rFonts w:ascii="Times New Roman" w:hAnsi="Times New Roman" w:cs="Times New Roman"/>
          <w:sz w:val="24"/>
          <w:szCs w:val="24"/>
        </w:rPr>
      </w:pPr>
      <w:r w:rsidRPr="005D6C87">
        <w:rPr>
          <w:rFonts w:ascii="Times New Roman" w:hAnsi="Times New Roman" w:cs="Times New Roman"/>
          <w:sz w:val="24"/>
          <w:szCs w:val="24"/>
        </w:rPr>
        <w:t>HHV-6; Human T-cell leukemia virus type 1, HTLV</w:t>
      </w:r>
    </w:p>
    <w:p w14:paraId="01BC866F" w14:textId="77777777" w:rsidR="00BC4AD7" w:rsidRPr="005D6C87" w:rsidRDefault="00BC4AD7">
      <w:pPr>
        <w:rPr>
          <w:rFonts w:ascii="Times New Roman" w:hAnsi="Times New Roman" w:cs="Times New Roman"/>
          <w:sz w:val="24"/>
          <w:szCs w:val="24"/>
        </w:rPr>
      </w:pPr>
    </w:p>
    <w:sectPr w:rsidR="00BC4AD7" w:rsidRPr="005D6C87" w:rsidSect="005D6C87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135B" w14:textId="77777777" w:rsidR="00DE57A2" w:rsidRDefault="00DE57A2" w:rsidP="00292BE4">
      <w:r>
        <w:separator/>
      </w:r>
    </w:p>
  </w:endnote>
  <w:endnote w:type="continuationSeparator" w:id="0">
    <w:p w14:paraId="025517C5" w14:textId="77777777" w:rsidR="00DE57A2" w:rsidRDefault="00DE57A2" w:rsidP="0029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3636" w14:textId="77777777" w:rsidR="00DE57A2" w:rsidRDefault="00DE57A2" w:rsidP="00292BE4">
      <w:r>
        <w:separator/>
      </w:r>
    </w:p>
  </w:footnote>
  <w:footnote w:type="continuationSeparator" w:id="0">
    <w:p w14:paraId="505E08AA" w14:textId="77777777" w:rsidR="00DE57A2" w:rsidRDefault="00DE57A2" w:rsidP="00292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E3"/>
    <w:rsid w:val="001500E3"/>
    <w:rsid w:val="00292BE4"/>
    <w:rsid w:val="00587FAE"/>
    <w:rsid w:val="005D6C87"/>
    <w:rsid w:val="0070112E"/>
    <w:rsid w:val="00975C9F"/>
    <w:rsid w:val="00BC4AD7"/>
    <w:rsid w:val="00D45942"/>
    <w:rsid w:val="00DD3EA3"/>
    <w:rsid w:val="00DE57A2"/>
    <w:rsid w:val="00E2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2DBA04"/>
  <w15:chartTrackingRefBased/>
  <w15:docId w15:val="{EE1FD5E4-EFC9-4798-B34A-D4CB1245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B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BE4"/>
  </w:style>
  <w:style w:type="paragraph" w:styleId="a5">
    <w:name w:val="footer"/>
    <w:basedOn w:val="a"/>
    <w:link w:val="a6"/>
    <w:uiPriority w:val="99"/>
    <w:unhideWhenUsed/>
    <w:rsid w:val="00292B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良一 宮崎</dc:creator>
  <cp:keywords/>
  <dc:description/>
  <cp:lastModifiedBy>良一 宮崎</cp:lastModifiedBy>
  <cp:revision>6</cp:revision>
  <cp:lastPrinted>2026-07-16T02:02:00Z</cp:lastPrinted>
  <dcterms:created xsi:type="dcterms:W3CDTF">2026-07-14T12:08:00Z</dcterms:created>
  <dcterms:modified xsi:type="dcterms:W3CDTF">2026-07-16T02:02:00Z</dcterms:modified>
</cp:coreProperties>
</file>