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F4C" w:rsidRPr="00860746" w:rsidRDefault="00756C67">
      <w:pPr>
        <w:pStyle w:val="Balk1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TREND Statement Checklist</w:t>
      </w:r>
    </w:p>
    <w:p w:rsidR="001A6544" w:rsidRPr="001A6544" w:rsidRDefault="00756C67" w:rsidP="001A6544">
      <w:pPr>
        <w:pStyle w:val="FirstParagraph"/>
        <w:rPr>
          <w:rFonts w:ascii="Times New Roman" w:hAnsi="Times New Roman"/>
          <w:b/>
          <w:bCs/>
          <w:sz w:val="22"/>
          <w:szCs w:val="22"/>
        </w:rPr>
      </w:pPr>
      <w:r w:rsidRPr="00860746">
        <w:rPr>
          <w:rFonts w:ascii="Times New Roman" w:hAnsi="Times New Roman"/>
          <w:b/>
          <w:bCs/>
          <w:sz w:val="22"/>
          <w:szCs w:val="22"/>
        </w:rPr>
        <w:t>Manuscript Title</w:t>
      </w:r>
      <w:proofErr w:type="gramStart"/>
      <w:r w:rsidRPr="00860746">
        <w:rPr>
          <w:rFonts w:ascii="Times New Roman" w:hAnsi="Times New Roman"/>
          <w:b/>
          <w:bCs/>
          <w:sz w:val="22"/>
          <w:szCs w:val="22"/>
        </w:rPr>
        <w:t>:</w:t>
      </w:r>
      <w:proofErr w:type="gramEnd"/>
      <w:r w:rsidRPr="00860746">
        <w:rPr>
          <w:rFonts w:ascii="Times New Roman" w:hAnsi="Times New Roman"/>
          <w:sz w:val="22"/>
          <w:szCs w:val="22"/>
        </w:rPr>
        <w:br/>
      </w:r>
      <w:r w:rsidR="001A6544" w:rsidRPr="001A6544">
        <w:rPr>
          <w:rFonts w:ascii="Times New Roman" w:hAnsi="Times New Roman"/>
          <w:b/>
          <w:bCs/>
          <w:sz w:val="22"/>
          <w:szCs w:val="22"/>
        </w:rPr>
        <w:t>Effects of an Online Flipped Classroom Model on Nursing Students’ Infection Control Knowledge and Psychomotor Skills Across Different Levels of Task Complexity</w:t>
      </w:r>
    </w:p>
    <w:p w:rsidR="00FF6F4C" w:rsidRPr="00860746" w:rsidRDefault="00FF6F4C">
      <w:pPr>
        <w:pStyle w:val="FirstParagraph"/>
        <w:rPr>
          <w:rFonts w:ascii="Times New Roman" w:hAnsi="Times New Roman"/>
          <w:sz w:val="22"/>
          <w:szCs w:val="22"/>
        </w:rPr>
      </w:pPr>
    </w:p>
    <w:tbl>
      <w:tblPr>
        <w:tblW w:w="5000" w:type="pct"/>
        <w:tblLayout w:type="fixed"/>
        <w:tblLook w:val="0020"/>
      </w:tblPr>
      <w:tblGrid>
        <w:gridCol w:w="1760"/>
        <w:gridCol w:w="1056"/>
        <w:gridCol w:w="2581"/>
        <w:gridCol w:w="4225"/>
      </w:tblGrid>
      <w:tr w:rsidR="004763B6" w:rsidRPr="00552D65" w:rsidTr="00552D65">
        <w:trPr>
          <w:tblHeader/>
        </w:trPr>
        <w:tc>
          <w:tcPr>
            <w:tcW w:w="1448" w:type="dxa"/>
            <w:tcBorders>
              <w:bottom w:val="single" w:sz="0" w:space="0" w:color="auto"/>
            </w:tcBorders>
            <w:vAlign w:val="bottom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Section/Topic</w:t>
            </w:r>
          </w:p>
        </w:tc>
        <w:tc>
          <w:tcPr>
            <w:tcW w:w="869" w:type="dxa"/>
            <w:tcBorders>
              <w:bottom w:val="single" w:sz="0" w:space="0" w:color="auto"/>
            </w:tcBorders>
            <w:vAlign w:val="bottom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Item No.</w:t>
            </w:r>
          </w:p>
        </w:tc>
        <w:tc>
          <w:tcPr>
            <w:tcW w:w="2124" w:type="dxa"/>
            <w:tcBorders>
              <w:bottom w:val="single" w:sz="0" w:space="0" w:color="auto"/>
            </w:tcBorders>
            <w:vAlign w:val="bottom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TREND Recommendation</w:t>
            </w:r>
          </w:p>
        </w:tc>
        <w:tc>
          <w:tcPr>
            <w:tcW w:w="3477" w:type="dxa"/>
            <w:tcBorders>
              <w:bottom w:val="single" w:sz="0" w:space="0" w:color="auto"/>
            </w:tcBorders>
            <w:vAlign w:val="bottom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Addressed in Manuscript (Page No.)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Title and Abstract</w:t>
            </w: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Information on how participants were allocated to interventions; use of a structured abstract including study design, methods, results, and conclusions.</w:t>
            </w:r>
          </w:p>
        </w:tc>
        <w:tc>
          <w:tcPr>
            <w:tcW w:w="3477" w:type="dxa"/>
          </w:tcPr>
          <w:p w:rsidR="00FF6F4C" w:rsidRPr="00552D65" w:rsidRDefault="00860746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Introduction</w:t>
            </w: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Scientific background, rationale, and specific objectives or hypotheses.</w:t>
            </w:r>
          </w:p>
        </w:tc>
        <w:tc>
          <w:tcPr>
            <w:tcW w:w="3477" w:type="dxa"/>
          </w:tcPr>
          <w:p w:rsidR="00FF6F4C" w:rsidRPr="00552D65" w:rsidRDefault="00524AA3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2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Methods</w:t>
            </w: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Eligibility criteria, recruitment methods, setting, and locations where data were collected.</w:t>
            </w:r>
          </w:p>
        </w:tc>
        <w:tc>
          <w:tcPr>
            <w:tcW w:w="3477" w:type="dxa"/>
          </w:tcPr>
          <w:p w:rsidR="00FF6F4C" w:rsidRPr="00552D65" w:rsidRDefault="00524AA3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Detailed description of the intervention for each study condition, including content, mode of delivery, duration, frequency, and provider.</w:t>
            </w:r>
          </w:p>
        </w:tc>
        <w:tc>
          <w:tcPr>
            <w:tcW w:w="3477" w:type="dxa"/>
          </w:tcPr>
          <w:p w:rsidR="00FF6F4C" w:rsidRPr="00552D65" w:rsidRDefault="00165AAD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7-13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Specific objectives</w:t>
            </w:r>
            <w:r w:rsidR="00F95093" w:rsidRPr="00552D65">
              <w:rPr>
                <w:rFonts w:ascii="Times New Roman" w:eastAsiaTheme="minorHAnsi" w:hAnsi="Times New Roman"/>
                <w:sz w:val="22"/>
                <w:szCs w:val="22"/>
              </w:rPr>
              <w:t>.</w:t>
            </w:r>
          </w:p>
        </w:tc>
        <w:tc>
          <w:tcPr>
            <w:tcW w:w="3477" w:type="dxa"/>
          </w:tcPr>
          <w:p w:rsidR="00FF6F4C" w:rsidRPr="00552D65" w:rsidRDefault="00F95093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4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6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Clearly defined primary and secondary outcome measures; methods used to improve measurement quality; validity and reliability of instruments.</w:t>
            </w:r>
          </w:p>
        </w:tc>
        <w:tc>
          <w:tcPr>
            <w:tcW w:w="3477" w:type="dxa"/>
          </w:tcPr>
          <w:p w:rsidR="00FF6F4C" w:rsidRPr="00552D65" w:rsidRDefault="0056254C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5-8 and 13</w:t>
            </w:r>
            <w:r w:rsidR="001E7BFD" w:rsidRPr="00552D65">
              <w:rPr>
                <w:rFonts w:ascii="Times New Roman" w:eastAsiaTheme="minorHAnsi" w:hAnsi="Times New Roman"/>
                <w:sz w:val="22"/>
                <w:szCs w:val="22"/>
              </w:rPr>
              <w:t>-1</w:t>
            </w:r>
            <w:r w:rsidR="00E57FB2" w:rsidRPr="00552D65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7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Sample size determination, including power analysis.</w:t>
            </w:r>
          </w:p>
        </w:tc>
        <w:tc>
          <w:tcPr>
            <w:tcW w:w="3477" w:type="dxa"/>
          </w:tcPr>
          <w:p w:rsidR="00FF6F4C" w:rsidRPr="00552D65" w:rsidRDefault="00105FC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8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Method used to assign participants to study conditions. Describe the non-random allocation procedure and any measures used to minimize bias.</w:t>
            </w:r>
          </w:p>
        </w:tc>
        <w:tc>
          <w:tcPr>
            <w:tcW w:w="3477" w:type="dxa"/>
          </w:tcPr>
          <w:p w:rsidR="00FF6F4C" w:rsidRPr="00552D65" w:rsidRDefault="000D3C4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5-6, 13-15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9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 xml:space="preserve">Blinding (masking) of participants, intervention </w:t>
            </w: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lastRenderedPageBreak/>
              <w:t>providers, outcome assessors, and data analysts, where applicable.</w:t>
            </w:r>
          </w:p>
        </w:tc>
        <w:tc>
          <w:tcPr>
            <w:tcW w:w="3477" w:type="dxa"/>
          </w:tcPr>
          <w:p w:rsidR="00FF6F4C" w:rsidRPr="00552D65" w:rsidRDefault="00BF7B15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lastRenderedPageBreak/>
              <w:t>8-15,17-18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10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Unit of assignment and unit of analysis; describe adjustments if they differ.</w:t>
            </w:r>
          </w:p>
        </w:tc>
        <w:tc>
          <w:tcPr>
            <w:tcW w:w="3477" w:type="dxa"/>
          </w:tcPr>
          <w:p w:rsidR="00FF6F4C" w:rsidRPr="00552D65" w:rsidRDefault="00C22DD0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5-7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11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Statistical methods used to compare groups, analyze primary outcomes, handle missing data, and perform additional analyses.</w:t>
            </w:r>
          </w:p>
        </w:tc>
        <w:tc>
          <w:tcPr>
            <w:tcW w:w="3477" w:type="dxa"/>
          </w:tcPr>
          <w:p w:rsidR="00FF6F4C" w:rsidRPr="00552D65" w:rsidRDefault="00C22DD0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Table 1,2,3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Results</w:t>
            </w: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12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Participant flow through each stage of the study, preferably with a TREND flow diagram.</w:t>
            </w:r>
          </w:p>
        </w:tc>
        <w:tc>
          <w:tcPr>
            <w:tcW w:w="3477" w:type="dxa"/>
          </w:tcPr>
          <w:p w:rsidR="00FF6F4C" w:rsidRPr="00552D65" w:rsidRDefault="00C22DD0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13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Recruitment period and dates of follow-up.</w:t>
            </w:r>
          </w:p>
        </w:tc>
        <w:tc>
          <w:tcPr>
            <w:tcW w:w="3477" w:type="dxa"/>
          </w:tcPr>
          <w:p w:rsidR="00FF6F4C" w:rsidRPr="00552D65" w:rsidRDefault="009223C4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14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Baseline demographic and clinical characteristics of participants by study condition.</w:t>
            </w:r>
          </w:p>
        </w:tc>
        <w:tc>
          <w:tcPr>
            <w:tcW w:w="3477" w:type="dxa"/>
          </w:tcPr>
          <w:p w:rsidR="00FF6F4C" w:rsidRPr="00552D65" w:rsidRDefault="00C22DD0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Table 1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15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Baseline equivalence of groups and statistical comparison.</w:t>
            </w:r>
          </w:p>
        </w:tc>
        <w:tc>
          <w:tcPr>
            <w:tcW w:w="3477" w:type="dxa"/>
          </w:tcPr>
          <w:p w:rsidR="00FF6F4C" w:rsidRPr="00552D65" w:rsidRDefault="009223C4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Table 1,2,3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16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Number of participants included in each analysis (intention-to-treat or completed cases).</w:t>
            </w:r>
          </w:p>
        </w:tc>
        <w:tc>
          <w:tcPr>
            <w:tcW w:w="3477" w:type="dxa"/>
          </w:tcPr>
          <w:p w:rsidR="00FF6F4C" w:rsidRPr="00552D65" w:rsidRDefault="009223C4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5-7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17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Results for each primary and secondary outcome, including effect sizes where appropriate.</w:t>
            </w:r>
          </w:p>
        </w:tc>
        <w:tc>
          <w:tcPr>
            <w:tcW w:w="3477" w:type="dxa"/>
          </w:tcPr>
          <w:p w:rsidR="00FF6F4C" w:rsidRPr="00552D65" w:rsidRDefault="009223C4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Table 1,2,3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18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Results of ancillary or subgroup analyses, if performed.</w:t>
            </w:r>
          </w:p>
        </w:tc>
        <w:tc>
          <w:tcPr>
            <w:tcW w:w="3477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N/A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19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Important adverse events or unintended effects for each study condition. If none occurred, explicitly state this.</w:t>
            </w:r>
          </w:p>
        </w:tc>
        <w:tc>
          <w:tcPr>
            <w:tcW w:w="3477" w:type="dxa"/>
          </w:tcPr>
          <w:p w:rsidR="00FF6F4C" w:rsidRPr="00552D65" w:rsidRDefault="00E91435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N/A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  <w:t>Discussion</w:t>
            </w: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20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Interpretation of findings considering hypotheses, potential sources of bias, limitations, imprecision, and multiple analyses.</w:t>
            </w:r>
          </w:p>
        </w:tc>
        <w:tc>
          <w:tcPr>
            <w:tcW w:w="3477" w:type="dxa"/>
          </w:tcPr>
          <w:p w:rsidR="00FF6F4C" w:rsidRPr="00552D65" w:rsidRDefault="00552D65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17-20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21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Generalizability (external validity) of the findings.</w:t>
            </w:r>
          </w:p>
        </w:tc>
        <w:tc>
          <w:tcPr>
            <w:tcW w:w="3477" w:type="dxa"/>
          </w:tcPr>
          <w:p w:rsidR="00FF6F4C" w:rsidRPr="00552D65" w:rsidRDefault="00552D65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17-20</w:t>
            </w:r>
          </w:p>
        </w:tc>
      </w:tr>
      <w:tr w:rsidR="004763B6" w:rsidRPr="00552D65" w:rsidTr="00552D65">
        <w:tc>
          <w:tcPr>
            <w:tcW w:w="1448" w:type="dxa"/>
          </w:tcPr>
          <w:p w:rsidR="00FF6F4C" w:rsidRPr="00552D65" w:rsidRDefault="00FF6F4C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  <w:tc>
          <w:tcPr>
            <w:tcW w:w="869" w:type="dxa"/>
          </w:tcPr>
          <w:p w:rsidR="00FF6F4C" w:rsidRPr="00552D65" w:rsidRDefault="00756C67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22</w:t>
            </w:r>
          </w:p>
        </w:tc>
        <w:tc>
          <w:tcPr>
            <w:tcW w:w="2124" w:type="dxa"/>
          </w:tcPr>
          <w:p w:rsidR="00FF6F4C" w:rsidRPr="00552D65" w:rsidRDefault="00756C67">
            <w:pPr>
              <w:pStyle w:val="Compact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Overall interpretation of results considering current evidence and implications for nursing education.</w:t>
            </w:r>
          </w:p>
        </w:tc>
        <w:tc>
          <w:tcPr>
            <w:tcW w:w="3477" w:type="dxa"/>
          </w:tcPr>
          <w:p w:rsidR="00FF6F4C" w:rsidRPr="00552D65" w:rsidRDefault="00552D65" w:rsidP="00552D65">
            <w:pPr>
              <w:pStyle w:val="Compact"/>
              <w:jc w:val="center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552D65">
              <w:rPr>
                <w:rFonts w:ascii="Times New Roman" w:eastAsiaTheme="minorHAnsi" w:hAnsi="Times New Roman"/>
                <w:sz w:val="22"/>
                <w:szCs w:val="22"/>
              </w:rPr>
              <w:t>20-21</w:t>
            </w:r>
          </w:p>
        </w:tc>
      </w:tr>
    </w:tbl>
    <w:p w:rsidR="00FF6F4C" w:rsidRPr="00860746" w:rsidRDefault="00756C67">
      <w:pPr>
        <w:pStyle w:val="Balk2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Study-Specific Notes</w:t>
      </w:r>
    </w:p>
    <w:p w:rsidR="00FF6F4C" w:rsidRPr="00860746" w:rsidRDefault="00756C67">
      <w:pPr>
        <w:pStyle w:val="Balk3"/>
        <w:rPr>
          <w:rFonts w:ascii="Times New Roman" w:hAnsi="Times New Roman"/>
          <w:sz w:val="22"/>
          <w:szCs w:val="22"/>
        </w:rPr>
      </w:pPr>
      <w:bookmarkStart w:id="0" w:name="item-4-intervention"/>
      <w:r w:rsidRPr="00860746">
        <w:rPr>
          <w:rFonts w:ascii="Times New Roman" w:hAnsi="Times New Roman"/>
          <w:sz w:val="22"/>
          <w:szCs w:val="22"/>
        </w:rPr>
        <w:t>Item 4 – Intervention</w:t>
      </w:r>
    </w:p>
    <w:p w:rsidR="00FF6F4C" w:rsidRPr="00860746" w:rsidRDefault="00756C67">
      <w:pPr>
        <w:pStyle w:val="FirstParagraph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The intervention consisted of an online flipped classroom model incorporating asynchronous interactive video learning (Edpuzzle), instructor-developed demonstration videos, synchronous Zoom sessions, guided discussions, and independent psychomotor skills practice. The control group received conventional online instruction consisting of lectures and demonstrations delivered synchronously.</w:t>
      </w:r>
    </w:p>
    <w:p w:rsidR="00FF6F4C" w:rsidRPr="00860746" w:rsidRDefault="00756C67">
      <w:pPr>
        <w:pStyle w:val="Balk3"/>
        <w:rPr>
          <w:rFonts w:ascii="Times New Roman" w:hAnsi="Times New Roman"/>
          <w:sz w:val="22"/>
          <w:szCs w:val="22"/>
        </w:rPr>
      </w:pPr>
      <w:bookmarkStart w:id="1" w:name="item-6-outcome-measures"/>
      <w:bookmarkEnd w:id="0"/>
      <w:r w:rsidRPr="00860746">
        <w:rPr>
          <w:rFonts w:ascii="Times New Roman" w:hAnsi="Times New Roman"/>
          <w:sz w:val="22"/>
          <w:szCs w:val="22"/>
        </w:rPr>
        <w:t>Item 6 – Outcome Measures</w:t>
      </w:r>
    </w:p>
    <w:p w:rsidR="00FF6F4C" w:rsidRPr="00860746" w:rsidRDefault="00756C67">
      <w:pPr>
        <w:pStyle w:val="FirstParagraph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Primary outcomes included infection control knowledge and psychomotor skill performance. Knowledge was assessed using a validated 24-item multiple-choice test. Psychomotor performance was evaluated using standardized skill checklists for hand hygiene, sterile gloving, sterile field preparation, and personal protective equipment application.</w:t>
      </w:r>
    </w:p>
    <w:p w:rsidR="00FF6F4C" w:rsidRPr="00860746" w:rsidRDefault="00756C67">
      <w:pPr>
        <w:pStyle w:val="Balk3"/>
        <w:rPr>
          <w:rFonts w:ascii="Times New Roman" w:hAnsi="Times New Roman"/>
          <w:sz w:val="22"/>
          <w:szCs w:val="22"/>
        </w:rPr>
      </w:pPr>
      <w:bookmarkStart w:id="2" w:name="item-8-assignment-method"/>
      <w:bookmarkEnd w:id="1"/>
      <w:r w:rsidRPr="00860746">
        <w:rPr>
          <w:rFonts w:ascii="Times New Roman" w:hAnsi="Times New Roman"/>
          <w:sz w:val="22"/>
          <w:szCs w:val="22"/>
        </w:rPr>
        <w:t>Item 8 – Assignment Method</w:t>
      </w:r>
    </w:p>
    <w:p w:rsidR="00FF6F4C" w:rsidRPr="00860746" w:rsidRDefault="00756C67">
      <w:pPr>
        <w:pStyle w:val="FirstParagraph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Participants were allocated to experimental and control groups using a gender-balanced, non-random assignment procedure to ensure comparable group composition.</w:t>
      </w:r>
    </w:p>
    <w:p w:rsidR="00FF6F4C" w:rsidRPr="00860746" w:rsidRDefault="00756C67">
      <w:pPr>
        <w:pStyle w:val="Balk3"/>
        <w:rPr>
          <w:rFonts w:ascii="Times New Roman" w:hAnsi="Times New Roman"/>
          <w:sz w:val="22"/>
          <w:szCs w:val="22"/>
        </w:rPr>
      </w:pPr>
      <w:bookmarkStart w:id="3" w:name="item-9-blinding"/>
      <w:bookmarkEnd w:id="2"/>
      <w:r w:rsidRPr="00860746">
        <w:rPr>
          <w:rFonts w:ascii="Times New Roman" w:hAnsi="Times New Roman"/>
          <w:sz w:val="22"/>
          <w:szCs w:val="22"/>
        </w:rPr>
        <w:t>Item 9 – Blinding</w:t>
      </w:r>
    </w:p>
    <w:p w:rsidR="00FF6F4C" w:rsidRPr="00860746" w:rsidRDefault="00756C67">
      <w:pPr>
        <w:pStyle w:val="FirstParagraph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Participants and instructors were not blinded because of the educational nature of the intervention. However, video-recorded psychomotor performances were independently evaluated by two faculty members who were blinded to group allocation.</w:t>
      </w:r>
    </w:p>
    <w:p w:rsidR="00FF6F4C" w:rsidRPr="00860746" w:rsidRDefault="00756C67">
      <w:pPr>
        <w:pStyle w:val="Balk3"/>
        <w:rPr>
          <w:rFonts w:ascii="Times New Roman" w:hAnsi="Times New Roman"/>
          <w:sz w:val="22"/>
          <w:szCs w:val="22"/>
        </w:rPr>
      </w:pPr>
      <w:bookmarkStart w:id="4" w:name="item-12-participant-flow"/>
      <w:bookmarkEnd w:id="3"/>
      <w:r w:rsidRPr="00860746">
        <w:rPr>
          <w:rFonts w:ascii="Times New Roman" w:hAnsi="Times New Roman"/>
          <w:sz w:val="22"/>
          <w:szCs w:val="22"/>
        </w:rPr>
        <w:t>Item 12 – Participant Flow</w:t>
      </w:r>
    </w:p>
    <w:p w:rsidR="00FF6F4C" w:rsidRPr="00860746" w:rsidRDefault="00756C67">
      <w:pPr>
        <w:pStyle w:val="FirstParagraph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Participant recruitment, allocation, follow-up, and analysis are presented in the TREND flow diagram included in Figure 1.</w:t>
      </w:r>
    </w:p>
    <w:bookmarkEnd w:id="4"/>
    <w:p w:rsidR="00FF6F4C" w:rsidRPr="00860746" w:rsidRDefault="00756C67">
      <w:pPr>
        <w:pStyle w:val="Balk3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Item 19 – Adverse Events</w:t>
      </w:r>
    </w:p>
    <w:p w:rsidR="00FF6F4C" w:rsidRPr="00860746" w:rsidRDefault="00756C67">
      <w:pPr>
        <w:pStyle w:val="FirstParagraph"/>
        <w:rPr>
          <w:rFonts w:ascii="Times New Roman" w:hAnsi="Times New Roman"/>
          <w:sz w:val="22"/>
          <w:szCs w:val="22"/>
        </w:rPr>
      </w:pPr>
      <w:r w:rsidRPr="00860746">
        <w:rPr>
          <w:rFonts w:ascii="Times New Roman" w:hAnsi="Times New Roman"/>
          <w:sz w:val="22"/>
          <w:szCs w:val="22"/>
        </w:rPr>
        <w:t>No adverse events or unintended effects associated with the educational intervention were observed.</w:t>
      </w:r>
    </w:p>
    <w:p w:rsidR="00FF6F4C" w:rsidRPr="00860746" w:rsidRDefault="00FB2D83">
      <w:pPr>
        <w:rPr>
          <w:rFonts w:ascii="Times New Roman" w:hAnsi="Times New Roman"/>
          <w:sz w:val="22"/>
          <w:szCs w:val="22"/>
        </w:rPr>
      </w:pPr>
      <w:r w:rsidRPr="00FB2D83">
        <w:rPr>
          <w:rFonts w:ascii="Times New Roman" w:hAnsi="Times New Roman"/>
          <w:sz w:val="22"/>
          <w:szCs w:val="22"/>
        </w:rPr>
        <w:pict>
          <v:rect id="_x0000_i1025" style="width:0;height:1.5pt" o:hralign="center" o:hrstd="t" o:hr="t"/>
        </w:pict>
      </w:r>
    </w:p>
    <w:sectPr w:rsidR="00FF6F4C" w:rsidRPr="00860746" w:rsidSect="00FF6F4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A990"/>
    <w:multiLevelType w:val="multilevel"/>
    <w:tmpl w:val="B3D0EA0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/>
  <w:rsids>
    <w:rsidRoot w:val="00FF6F4C"/>
    <w:rsid w:val="000D3C47"/>
    <w:rsid w:val="00105FC7"/>
    <w:rsid w:val="00165AAD"/>
    <w:rsid w:val="001A6544"/>
    <w:rsid w:val="001E7BFD"/>
    <w:rsid w:val="004763B6"/>
    <w:rsid w:val="00524AA3"/>
    <w:rsid w:val="00552D65"/>
    <w:rsid w:val="0056254C"/>
    <w:rsid w:val="00756C67"/>
    <w:rsid w:val="00860746"/>
    <w:rsid w:val="009223C4"/>
    <w:rsid w:val="00BF7B15"/>
    <w:rsid w:val="00C22DD0"/>
    <w:rsid w:val="00E57FB2"/>
    <w:rsid w:val="00E91435"/>
    <w:rsid w:val="00F95093"/>
    <w:rsid w:val="00FB2D83"/>
    <w:rsid w:val="00FF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FF6F4C"/>
    <w:pPr>
      <w:spacing w:after="200"/>
    </w:pPr>
    <w:rPr>
      <w:sz w:val="24"/>
      <w:szCs w:val="24"/>
      <w:lang w:val="en-US" w:eastAsia="en-US"/>
    </w:rPr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qFormat/>
    <w:rsid w:val="00FF6F4C"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  <w:rsid w:val="00FF6F4C"/>
  </w:style>
  <w:style w:type="paragraph" w:customStyle="1" w:styleId="Compact">
    <w:name w:val="Compact"/>
    <w:basedOn w:val="GvdeMetni"/>
    <w:qFormat/>
    <w:rsid w:val="00FF6F4C"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AltKonuBal">
    <w:name w:val="Subtitle"/>
    <w:basedOn w:val="KonuBal"/>
    <w:next w:val="GvdeMetni"/>
    <w:link w:val="AltKonuBa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A10FD9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Author">
    <w:name w:val="Author"/>
    <w:next w:val="GvdeMetni"/>
    <w:qFormat/>
    <w:rsid w:val="00FF6F4C"/>
    <w:pPr>
      <w:keepNext/>
      <w:keepLines/>
      <w:spacing w:after="200"/>
      <w:jc w:val="center"/>
    </w:pPr>
    <w:rPr>
      <w:sz w:val="24"/>
      <w:szCs w:val="24"/>
      <w:lang w:val="en-US" w:eastAsia="en-US"/>
    </w:rPr>
  </w:style>
  <w:style w:type="paragraph" w:styleId="Tarih">
    <w:name w:val="Date"/>
    <w:next w:val="GvdeMetni"/>
    <w:qFormat/>
    <w:rsid w:val="00FF6F4C"/>
    <w:pPr>
      <w:keepNext/>
      <w:keepLines/>
      <w:spacing w:after="200"/>
      <w:jc w:val="center"/>
    </w:pPr>
    <w:rPr>
      <w:sz w:val="24"/>
      <w:szCs w:val="24"/>
      <w:lang w:val="en-US" w:eastAsia="en-US"/>
    </w:rPr>
  </w:style>
  <w:style w:type="paragraph" w:customStyle="1" w:styleId="AbstractTitle">
    <w:name w:val="Abstract Title"/>
    <w:basedOn w:val="Normal"/>
    <w:next w:val="Abstract"/>
    <w:qFormat/>
    <w:rsid w:val="00FF6F4C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rsid w:val="00FF6F4C"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  <w:rsid w:val="00FF6F4C"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="Times New Roman" w:cs="Times New Roman"/>
      <w:color w:val="0F4761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="Times New Roman" w:cs="Times New Roman"/>
      <w:i/>
      <w:iCs/>
      <w:color w:val="0F476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="Times New Roman" w:cs="Times New Roman"/>
      <w:color w:val="0F476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="Times New Roman" w:cs="Times New Roman"/>
      <w:i/>
      <w:iCs/>
      <w:color w:val="595959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="Times New Roman" w:cs="Times New Roman"/>
      <w:color w:val="595959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="Times New Roman" w:cs="Times New Roman"/>
      <w:i/>
      <w:iCs/>
      <w:color w:val="272727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="Times New Roman" w:cs="Times New Roman"/>
      <w:color w:val="272727"/>
    </w:rPr>
  </w:style>
  <w:style w:type="paragraph" w:styleId="bekMetni">
    <w:name w:val="Block Text"/>
    <w:basedOn w:val="GvdeMetni"/>
    <w:next w:val="GvdeMetni"/>
    <w:uiPriority w:val="9"/>
    <w:unhideWhenUsed/>
    <w:qFormat/>
    <w:rsid w:val="00FF6F4C"/>
    <w:pPr>
      <w:spacing w:before="100" w:after="100"/>
      <w:ind w:left="480" w:right="480"/>
    </w:pPr>
  </w:style>
  <w:style w:type="paragraph" w:customStyle="1" w:styleId="FootnoteText">
    <w:name w:val="Footnote Text"/>
    <w:basedOn w:val="Normal"/>
    <w:uiPriority w:val="9"/>
    <w:unhideWhenUsed/>
    <w:qFormat/>
    <w:rsid w:val="00FF6F4C"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rsid w:val="00FF6F4C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FF6F4C"/>
    <w:pPr>
      <w:spacing w:after="200"/>
    </w:pPr>
    <w:rPr>
      <w:sz w:val="24"/>
      <w:szCs w:val="2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FF6F4C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FF6F4C"/>
  </w:style>
  <w:style w:type="paragraph" w:customStyle="1" w:styleId="Caption">
    <w:name w:val="Caption"/>
    <w:basedOn w:val="Normal"/>
    <w:link w:val="GvdeMetniChar"/>
    <w:rsid w:val="00FF6F4C"/>
    <w:pPr>
      <w:spacing w:after="120"/>
    </w:pPr>
    <w:rPr>
      <w:i/>
    </w:rPr>
  </w:style>
  <w:style w:type="paragraph" w:customStyle="1" w:styleId="TableCaption">
    <w:name w:val="Table Caption"/>
    <w:basedOn w:val="Caption"/>
    <w:rsid w:val="00FF6F4C"/>
    <w:pPr>
      <w:keepNext/>
    </w:pPr>
  </w:style>
  <w:style w:type="paragraph" w:customStyle="1" w:styleId="ImageCaption">
    <w:name w:val="Image Caption"/>
    <w:basedOn w:val="Caption"/>
    <w:rsid w:val="00FF6F4C"/>
  </w:style>
  <w:style w:type="paragraph" w:customStyle="1" w:styleId="Figure">
    <w:name w:val="Figure"/>
    <w:basedOn w:val="Normal"/>
    <w:rsid w:val="00FF6F4C"/>
  </w:style>
  <w:style w:type="paragraph" w:customStyle="1" w:styleId="CaptionedFigure">
    <w:name w:val="Captioned Figure"/>
    <w:basedOn w:val="Figure"/>
    <w:rsid w:val="00FF6F4C"/>
    <w:pPr>
      <w:keepNext/>
    </w:pPr>
  </w:style>
  <w:style w:type="character" w:customStyle="1" w:styleId="GvdeMetniChar">
    <w:name w:val="Gövde Metni Char"/>
    <w:basedOn w:val="VarsaylanParagrafYazTipi"/>
    <w:link w:val="Caption"/>
    <w:rsid w:val="00FF6F4C"/>
  </w:style>
  <w:style w:type="character" w:customStyle="1" w:styleId="VerbatimChar">
    <w:name w:val="Verbatim Char"/>
    <w:basedOn w:val="GvdeMetniChar"/>
    <w:link w:val="SourceCode"/>
    <w:rsid w:val="00FF6F4C"/>
    <w:rPr>
      <w:rFonts w:ascii="Consolas" w:hAnsi="Consolas"/>
      <w:sz w:val="22"/>
    </w:rPr>
  </w:style>
  <w:style w:type="character" w:customStyle="1" w:styleId="SectionNumber">
    <w:name w:val="Section Number"/>
    <w:basedOn w:val="GvdeMetniChar"/>
    <w:rsid w:val="00FF6F4C"/>
  </w:style>
  <w:style w:type="character" w:customStyle="1" w:styleId="FootnoteReference">
    <w:name w:val="Footnote Reference"/>
    <w:basedOn w:val="GvdeMetniChar"/>
    <w:rsid w:val="00FF6F4C"/>
    <w:rPr>
      <w:vertAlign w:val="superscript"/>
    </w:rPr>
  </w:style>
  <w:style w:type="character" w:styleId="Kpr">
    <w:name w:val="Hyperlink"/>
    <w:basedOn w:val="GvdeMetniChar"/>
    <w:rsid w:val="00FF6F4C"/>
    <w:rPr>
      <w:color w:val="156082"/>
    </w:rPr>
  </w:style>
  <w:style w:type="paragraph" w:styleId="TBal">
    <w:name w:val="TOC Heading"/>
    <w:basedOn w:val="Balk1"/>
    <w:next w:val="GvdeMetni"/>
    <w:uiPriority w:val="39"/>
    <w:unhideWhenUsed/>
    <w:qFormat/>
    <w:rsid w:val="00FF6F4C"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rsid w:val="00FF6F4C"/>
    <w:pPr>
      <w:wordWrap w:val="0"/>
    </w:pPr>
  </w:style>
  <w:style w:type="character" w:customStyle="1" w:styleId="KeywordTok">
    <w:name w:val="KeywordTok"/>
    <w:basedOn w:val="VerbatimChar"/>
    <w:rsid w:val="00FF6F4C"/>
    <w:rPr>
      <w:b/>
      <w:color w:val="007020"/>
    </w:rPr>
  </w:style>
  <w:style w:type="character" w:customStyle="1" w:styleId="DataTypeTok">
    <w:name w:val="DataTypeTok"/>
    <w:basedOn w:val="VerbatimChar"/>
    <w:rsid w:val="00FF6F4C"/>
    <w:rPr>
      <w:color w:val="902000"/>
    </w:rPr>
  </w:style>
  <w:style w:type="character" w:customStyle="1" w:styleId="DecValTok">
    <w:name w:val="DecValTok"/>
    <w:basedOn w:val="VerbatimChar"/>
    <w:rsid w:val="00FF6F4C"/>
    <w:rPr>
      <w:color w:val="40A070"/>
    </w:rPr>
  </w:style>
  <w:style w:type="character" w:customStyle="1" w:styleId="BaseNTok">
    <w:name w:val="BaseNTok"/>
    <w:basedOn w:val="VerbatimChar"/>
    <w:rsid w:val="00FF6F4C"/>
    <w:rPr>
      <w:color w:val="40A070"/>
    </w:rPr>
  </w:style>
  <w:style w:type="character" w:customStyle="1" w:styleId="FloatTok">
    <w:name w:val="FloatTok"/>
    <w:basedOn w:val="VerbatimChar"/>
    <w:rsid w:val="00FF6F4C"/>
    <w:rPr>
      <w:color w:val="40A070"/>
    </w:rPr>
  </w:style>
  <w:style w:type="character" w:customStyle="1" w:styleId="ConstantTok">
    <w:name w:val="ConstantTok"/>
    <w:basedOn w:val="VerbatimChar"/>
    <w:rsid w:val="00FF6F4C"/>
    <w:rPr>
      <w:color w:val="880000"/>
    </w:rPr>
  </w:style>
  <w:style w:type="character" w:customStyle="1" w:styleId="CharTok">
    <w:name w:val="CharTok"/>
    <w:basedOn w:val="VerbatimChar"/>
    <w:rsid w:val="00FF6F4C"/>
    <w:rPr>
      <w:color w:val="4070A0"/>
    </w:rPr>
  </w:style>
  <w:style w:type="character" w:customStyle="1" w:styleId="SpecialCharTok">
    <w:name w:val="SpecialCharTok"/>
    <w:basedOn w:val="VerbatimChar"/>
    <w:rsid w:val="00FF6F4C"/>
    <w:rPr>
      <w:color w:val="4070A0"/>
    </w:rPr>
  </w:style>
  <w:style w:type="character" w:customStyle="1" w:styleId="StringTok">
    <w:name w:val="StringTok"/>
    <w:basedOn w:val="VerbatimChar"/>
    <w:rsid w:val="00FF6F4C"/>
    <w:rPr>
      <w:color w:val="4070A0"/>
    </w:rPr>
  </w:style>
  <w:style w:type="character" w:customStyle="1" w:styleId="VerbatimStringTok">
    <w:name w:val="VerbatimStringTok"/>
    <w:basedOn w:val="VerbatimChar"/>
    <w:rsid w:val="00FF6F4C"/>
    <w:rPr>
      <w:color w:val="4070A0"/>
    </w:rPr>
  </w:style>
  <w:style w:type="character" w:customStyle="1" w:styleId="SpecialStringTok">
    <w:name w:val="SpecialStringTok"/>
    <w:basedOn w:val="VerbatimChar"/>
    <w:rsid w:val="00FF6F4C"/>
    <w:rPr>
      <w:color w:val="BB6688"/>
    </w:rPr>
  </w:style>
  <w:style w:type="character" w:customStyle="1" w:styleId="ImportTok">
    <w:name w:val="ImportTok"/>
    <w:basedOn w:val="VerbatimChar"/>
    <w:rsid w:val="00FF6F4C"/>
    <w:rPr>
      <w:b/>
      <w:color w:val="008000"/>
    </w:rPr>
  </w:style>
  <w:style w:type="character" w:customStyle="1" w:styleId="CommentTok">
    <w:name w:val="CommentTok"/>
    <w:basedOn w:val="VerbatimChar"/>
    <w:rsid w:val="00FF6F4C"/>
    <w:rPr>
      <w:i/>
      <w:color w:val="60A0B0"/>
    </w:rPr>
  </w:style>
  <w:style w:type="character" w:customStyle="1" w:styleId="DocumentationTok">
    <w:name w:val="DocumentationTok"/>
    <w:basedOn w:val="VerbatimChar"/>
    <w:rsid w:val="00FF6F4C"/>
    <w:rPr>
      <w:i/>
      <w:color w:val="BA2121"/>
    </w:rPr>
  </w:style>
  <w:style w:type="character" w:customStyle="1" w:styleId="AnnotationTok">
    <w:name w:val="AnnotationTok"/>
    <w:basedOn w:val="VerbatimChar"/>
    <w:rsid w:val="00FF6F4C"/>
    <w:rPr>
      <w:b/>
      <w:i/>
      <w:color w:val="60A0B0"/>
    </w:rPr>
  </w:style>
  <w:style w:type="character" w:customStyle="1" w:styleId="CommentVarTok">
    <w:name w:val="CommentVarTok"/>
    <w:basedOn w:val="VerbatimChar"/>
    <w:rsid w:val="00FF6F4C"/>
    <w:rPr>
      <w:b/>
      <w:i/>
      <w:color w:val="60A0B0"/>
    </w:rPr>
  </w:style>
  <w:style w:type="character" w:customStyle="1" w:styleId="OtherTok">
    <w:name w:val="OtherTok"/>
    <w:basedOn w:val="VerbatimChar"/>
    <w:rsid w:val="00FF6F4C"/>
    <w:rPr>
      <w:color w:val="007020"/>
    </w:rPr>
  </w:style>
  <w:style w:type="character" w:customStyle="1" w:styleId="FunctionTok">
    <w:name w:val="FunctionTok"/>
    <w:basedOn w:val="VerbatimChar"/>
    <w:rsid w:val="00FF6F4C"/>
    <w:rPr>
      <w:color w:val="06287E"/>
    </w:rPr>
  </w:style>
  <w:style w:type="character" w:customStyle="1" w:styleId="VariableTok">
    <w:name w:val="VariableTok"/>
    <w:basedOn w:val="VerbatimChar"/>
    <w:rsid w:val="00FF6F4C"/>
    <w:rPr>
      <w:color w:val="19177C"/>
    </w:rPr>
  </w:style>
  <w:style w:type="character" w:customStyle="1" w:styleId="ControlFlowTok">
    <w:name w:val="ControlFlowTok"/>
    <w:basedOn w:val="VerbatimChar"/>
    <w:rsid w:val="00FF6F4C"/>
    <w:rPr>
      <w:b/>
      <w:color w:val="007020"/>
    </w:rPr>
  </w:style>
  <w:style w:type="character" w:customStyle="1" w:styleId="OperatorTok">
    <w:name w:val="OperatorTok"/>
    <w:basedOn w:val="VerbatimChar"/>
    <w:rsid w:val="00FF6F4C"/>
    <w:rPr>
      <w:color w:val="666666"/>
    </w:rPr>
  </w:style>
  <w:style w:type="character" w:customStyle="1" w:styleId="BuiltInTok">
    <w:name w:val="BuiltInTok"/>
    <w:basedOn w:val="VerbatimChar"/>
    <w:rsid w:val="00FF6F4C"/>
    <w:rPr>
      <w:color w:val="008000"/>
    </w:rPr>
  </w:style>
  <w:style w:type="character" w:customStyle="1" w:styleId="ExtensionTok">
    <w:name w:val="ExtensionTok"/>
    <w:basedOn w:val="VerbatimChar"/>
    <w:rsid w:val="00FF6F4C"/>
  </w:style>
  <w:style w:type="character" w:customStyle="1" w:styleId="PreprocessorTok">
    <w:name w:val="PreprocessorTok"/>
    <w:basedOn w:val="VerbatimChar"/>
    <w:rsid w:val="00FF6F4C"/>
    <w:rPr>
      <w:color w:val="BC7A00"/>
    </w:rPr>
  </w:style>
  <w:style w:type="character" w:customStyle="1" w:styleId="AttributeTok">
    <w:name w:val="AttributeTok"/>
    <w:basedOn w:val="VerbatimChar"/>
    <w:rsid w:val="00FF6F4C"/>
    <w:rPr>
      <w:color w:val="7D9029"/>
    </w:rPr>
  </w:style>
  <w:style w:type="character" w:customStyle="1" w:styleId="RegionMarkerTok">
    <w:name w:val="RegionMarkerTok"/>
    <w:basedOn w:val="VerbatimChar"/>
    <w:rsid w:val="00FF6F4C"/>
  </w:style>
  <w:style w:type="character" w:customStyle="1" w:styleId="InformationTok">
    <w:name w:val="InformationTok"/>
    <w:basedOn w:val="VerbatimChar"/>
    <w:rsid w:val="00FF6F4C"/>
    <w:rPr>
      <w:b/>
      <w:i/>
      <w:color w:val="60A0B0"/>
    </w:rPr>
  </w:style>
  <w:style w:type="character" w:customStyle="1" w:styleId="WarningTok">
    <w:name w:val="WarningTok"/>
    <w:basedOn w:val="VerbatimChar"/>
    <w:rsid w:val="00FF6F4C"/>
    <w:rPr>
      <w:b/>
      <w:i/>
      <w:color w:val="60A0B0"/>
    </w:rPr>
  </w:style>
  <w:style w:type="character" w:customStyle="1" w:styleId="AlertTok">
    <w:name w:val="AlertTok"/>
    <w:basedOn w:val="VerbatimChar"/>
    <w:rsid w:val="00FF6F4C"/>
    <w:rPr>
      <w:b/>
      <w:color w:val="FF0000"/>
    </w:rPr>
  </w:style>
  <w:style w:type="character" w:customStyle="1" w:styleId="ErrorTok">
    <w:name w:val="ErrorTok"/>
    <w:basedOn w:val="VerbatimChar"/>
    <w:rsid w:val="00FF6F4C"/>
    <w:rPr>
      <w:b/>
      <w:color w:val="FF0000"/>
    </w:rPr>
  </w:style>
  <w:style w:type="character" w:customStyle="1" w:styleId="NormalTok">
    <w:name w:val="NormalTok"/>
    <w:basedOn w:val="VerbatimChar"/>
    <w:rsid w:val="00FF6F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2026-07-25T23:41:00Z</dcterms:created>
  <dcterms:modified xsi:type="dcterms:W3CDTF">2026-07-25T23:41:00Z</dcterms:modified>
</cp:coreProperties>
</file>