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E02" w:rsidRDefault="00DB0322" w:rsidP="00DC0E02">
      <w:pPr>
        <w:adjustRightInd w:val="0"/>
        <w:snapToGrid w:val="0"/>
        <w:jc w:val="both"/>
        <w:rPr>
          <w:rFonts w:ascii="Times New Roman" w:hAnsi="Times New Roman" w:cs="Times New Roman"/>
          <w:b/>
          <w:sz w:val="32"/>
        </w:rPr>
      </w:pPr>
      <w:r w:rsidRPr="00DB0322">
        <w:rPr>
          <w:rFonts w:ascii="Times New Roman" w:hAnsi="Times New Roman" w:cs="Times New Roman" w:hint="eastAsia"/>
          <w:b/>
          <w:sz w:val="32"/>
        </w:rPr>
        <w:t>S</w:t>
      </w:r>
      <w:r w:rsidRPr="00DB0322">
        <w:rPr>
          <w:rFonts w:ascii="Times New Roman" w:hAnsi="Times New Roman" w:cs="Times New Roman"/>
          <w:b/>
          <w:sz w:val="32"/>
        </w:rPr>
        <w:t>upplementary Information</w:t>
      </w:r>
    </w:p>
    <w:p w:rsidR="00DB0322" w:rsidRDefault="002C611C" w:rsidP="002C611C">
      <w:pPr>
        <w:adjustRightInd w:val="0"/>
        <w:snapToGrid w:val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drawing>
          <wp:inline distT="0" distB="0" distL="0" distR="0">
            <wp:extent cx="4857750" cy="37782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667"/>
                    <a:stretch/>
                  </pic:blipFill>
                  <pic:spPr bwMode="auto">
                    <a:xfrm>
                      <a:off x="0" y="0"/>
                      <a:ext cx="4862712" cy="3782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611C" w:rsidRPr="002C611C" w:rsidRDefault="002C611C" w:rsidP="00DC0E02">
      <w:pPr>
        <w:adjustRightInd w:val="0"/>
        <w:snapToGrid w:val="0"/>
        <w:jc w:val="both"/>
        <w:rPr>
          <w:rFonts w:ascii="Times New Roman" w:hAnsi="Times New Roman" w:cs="Times New Roman"/>
          <w:b/>
        </w:rPr>
      </w:pPr>
      <w:r w:rsidRPr="002C611C">
        <w:rPr>
          <w:rFonts w:ascii="Times New Roman" w:hAnsi="Times New Roman" w:cs="Times New Roman" w:hint="eastAsia"/>
          <w:b/>
        </w:rPr>
        <w:t>Figure S1</w:t>
      </w:r>
      <w:r>
        <w:rPr>
          <w:rFonts w:ascii="Times New Roman" w:hAnsi="Times New Roman" w:cs="Times New Roman"/>
          <w:b/>
        </w:rPr>
        <w:t xml:space="preserve">. NEDD8 plays a critical role in regulating cellular migration ability of </w:t>
      </w:r>
      <w:r w:rsidRPr="0063134B">
        <w:rPr>
          <w:rFonts w:ascii="Times New Roman" w:hAnsi="Times New Roman" w:cs="Times New Roman"/>
          <w:b/>
        </w:rPr>
        <w:t>BRAF</w:t>
      </w:r>
      <w:r w:rsidRPr="0063134B">
        <w:rPr>
          <w:rFonts w:ascii="Times New Roman" w:hAnsi="Times New Roman" w:cs="Times New Roman"/>
          <w:b/>
          <w:vertAlign w:val="superscript"/>
        </w:rPr>
        <w:t>V600E</w:t>
      </w:r>
      <w:r w:rsidRPr="0063134B">
        <w:rPr>
          <w:rFonts w:ascii="Times New Roman" w:hAnsi="Times New Roman" w:cs="Times New Roman"/>
          <w:b/>
        </w:rPr>
        <w:t xml:space="preserve"> melanoma cells.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(A and B) </w:t>
      </w:r>
      <w:r w:rsidRPr="0063134B">
        <w:rPr>
          <w:rFonts w:ascii="Times New Roman" w:hAnsi="Times New Roman" w:cs="Times New Roman"/>
        </w:rPr>
        <w:t xml:space="preserve">Western blot analyses </w:t>
      </w:r>
      <w:r>
        <w:rPr>
          <w:rFonts w:ascii="Times New Roman" w:hAnsi="Times New Roman" w:cs="Times New Roman"/>
        </w:rPr>
        <w:t>of</w:t>
      </w:r>
      <w:r w:rsidRPr="00631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NEDD8</w:t>
      </w:r>
      <w:r w:rsidRPr="0063134B">
        <w:rPr>
          <w:rFonts w:ascii="Times New Roman" w:hAnsi="Times New Roman" w:cs="Times New Roman"/>
        </w:rPr>
        <w:t>, EGFP</w:t>
      </w:r>
      <w:r>
        <w:rPr>
          <w:rFonts w:ascii="Times New Roman" w:hAnsi="Times New Roman" w:cs="Times New Roman"/>
        </w:rPr>
        <w:t>,</w:t>
      </w:r>
      <w:r w:rsidRPr="0063134B">
        <w:rPr>
          <w:rFonts w:ascii="Times New Roman" w:hAnsi="Times New Roman" w:cs="Times New Roman"/>
        </w:rPr>
        <w:t xml:space="preserve"> and GAPDH protein levels (</w:t>
      </w:r>
      <w:r>
        <w:rPr>
          <w:rFonts w:ascii="Times New Roman" w:hAnsi="Times New Roman" w:cs="Times New Roman"/>
        </w:rPr>
        <w:t>A</w:t>
      </w:r>
      <w:r w:rsidRPr="0063134B">
        <w:rPr>
          <w:rFonts w:ascii="Times New Roman" w:hAnsi="Times New Roman" w:cs="Times New Roman"/>
        </w:rPr>
        <w:t xml:space="preserve">) and Giemsa staining/bar chart </w:t>
      </w:r>
      <w:r>
        <w:rPr>
          <w:rFonts w:ascii="Times New Roman" w:hAnsi="Times New Roman" w:cs="Times New Roman"/>
        </w:rPr>
        <w:t>of migrating</w:t>
      </w:r>
      <w:r w:rsidRPr="0063134B">
        <w:rPr>
          <w:rFonts w:ascii="Times New Roman" w:hAnsi="Times New Roman" w:cs="Times New Roman"/>
        </w:rPr>
        <w:t xml:space="preserve"> cells from</w:t>
      </w:r>
      <w:r>
        <w:rPr>
          <w:rFonts w:ascii="Times New Roman" w:hAnsi="Times New Roman" w:cs="Times New Roman"/>
        </w:rPr>
        <w:t xml:space="preserve"> the</w:t>
      </w:r>
      <w:r w:rsidRPr="0063134B">
        <w:rPr>
          <w:rFonts w:ascii="Times New Roman" w:hAnsi="Times New Roman" w:cs="Times New Roman"/>
        </w:rPr>
        <w:t xml:space="preserve"> trans-well cultivation (</w:t>
      </w:r>
      <w:r>
        <w:rPr>
          <w:rFonts w:ascii="Times New Roman" w:hAnsi="Times New Roman" w:cs="Times New Roman"/>
        </w:rPr>
        <w:t>B</w:t>
      </w:r>
      <w:r w:rsidRPr="0063134B">
        <w:rPr>
          <w:rFonts w:ascii="Times New Roman" w:hAnsi="Times New Roman" w:cs="Times New Roman"/>
        </w:rPr>
        <w:t xml:space="preserve">) of parental/NS control RPMI7951 cells and </w:t>
      </w:r>
      <w:r>
        <w:rPr>
          <w:rFonts w:ascii="Times New Roman" w:hAnsi="Times New Roman" w:cs="Times New Roman"/>
        </w:rPr>
        <w:t>NEDD8</w:t>
      </w:r>
      <w:r w:rsidRPr="0063134B">
        <w:rPr>
          <w:rFonts w:ascii="Times New Roman" w:hAnsi="Times New Roman" w:cs="Times New Roman"/>
        </w:rPr>
        <w:t xml:space="preserve">-KD RPMI7951 cells without or with </w:t>
      </w:r>
      <w:r>
        <w:rPr>
          <w:rFonts w:ascii="Times New Roman" w:hAnsi="Times New Roman" w:cs="Times New Roman"/>
        </w:rPr>
        <w:t xml:space="preserve">the </w:t>
      </w:r>
      <w:r w:rsidRPr="0063134B">
        <w:rPr>
          <w:rFonts w:ascii="Times New Roman" w:hAnsi="Times New Roman" w:cs="Times New Roman"/>
        </w:rPr>
        <w:t xml:space="preserve">transient transfection of </w:t>
      </w:r>
      <w:r>
        <w:rPr>
          <w:rFonts w:ascii="Times New Roman" w:hAnsi="Times New Roman" w:cs="Times New Roman"/>
        </w:rPr>
        <w:t xml:space="preserve">an </w:t>
      </w:r>
      <w:r w:rsidRPr="0063134B">
        <w:rPr>
          <w:rFonts w:ascii="Times New Roman" w:hAnsi="Times New Roman" w:cs="Times New Roman"/>
        </w:rPr>
        <w:t xml:space="preserve">empty pIRES2-EGFP plasmid or </w:t>
      </w:r>
      <w:r>
        <w:rPr>
          <w:rFonts w:ascii="Times New Roman" w:hAnsi="Times New Roman" w:cs="Times New Roman"/>
        </w:rPr>
        <w:t>a</w:t>
      </w:r>
      <w:r w:rsidRPr="0063134B">
        <w:rPr>
          <w:rFonts w:ascii="Times New Roman" w:hAnsi="Times New Roman" w:cs="Times New Roman"/>
        </w:rPr>
        <w:t xml:space="preserve"> plasmid containing </w:t>
      </w:r>
      <w:r>
        <w:rPr>
          <w:rFonts w:ascii="Times New Roman" w:hAnsi="Times New Roman" w:cs="Times New Roman"/>
        </w:rPr>
        <w:t>NEDD8</w:t>
      </w:r>
      <w:r w:rsidRPr="0063134B">
        <w:rPr>
          <w:rFonts w:ascii="Times New Roman" w:hAnsi="Times New Roman" w:cs="Times New Roman"/>
        </w:rPr>
        <w:t xml:space="preserve"> genes. EGFP and GAPDH were used as </w:t>
      </w:r>
      <w:r>
        <w:rPr>
          <w:rFonts w:ascii="Times New Roman" w:hAnsi="Times New Roman" w:cs="Times New Roman"/>
        </w:rPr>
        <w:t xml:space="preserve">an </w:t>
      </w:r>
      <w:r w:rsidRPr="0063134B">
        <w:rPr>
          <w:rFonts w:ascii="Times New Roman" w:hAnsi="Times New Roman" w:cs="Times New Roman"/>
        </w:rPr>
        <w:t>internal control of transfection efficiency and protein loading, respectively.</w:t>
      </w:r>
    </w:p>
    <w:p w:rsidR="002C611C" w:rsidRPr="002C611C" w:rsidRDefault="002C611C" w:rsidP="00DC0E02">
      <w:pPr>
        <w:adjustRightInd w:val="0"/>
        <w:snapToGrid w:val="0"/>
        <w:jc w:val="both"/>
        <w:rPr>
          <w:rFonts w:ascii="Times New Roman" w:hAnsi="Times New Roman" w:cs="Times New Roman"/>
          <w:b/>
        </w:rPr>
      </w:pPr>
    </w:p>
    <w:p w:rsidR="002C611C" w:rsidRPr="002C611C" w:rsidRDefault="002C611C" w:rsidP="00DC0E02">
      <w:pPr>
        <w:adjustRightInd w:val="0"/>
        <w:snapToGrid w:val="0"/>
        <w:jc w:val="both"/>
        <w:rPr>
          <w:rFonts w:ascii="Times New Roman" w:hAnsi="Times New Roman" w:cs="Times New Roman"/>
          <w:b/>
        </w:rPr>
      </w:pPr>
    </w:p>
    <w:p w:rsidR="00DC0E02" w:rsidRPr="0063134B" w:rsidRDefault="00DC0E02" w:rsidP="00DC0E02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32979" cy="317182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A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734"/>
                    <a:stretch/>
                  </pic:blipFill>
                  <pic:spPr bwMode="auto">
                    <a:xfrm>
                      <a:off x="0" y="0"/>
                      <a:ext cx="5038289" cy="3175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0E02" w:rsidRPr="0063134B" w:rsidRDefault="00DC0E02" w:rsidP="00DC0E02">
      <w:pPr>
        <w:adjustRightInd w:val="0"/>
        <w:snapToGrid w:val="0"/>
        <w:jc w:val="both"/>
        <w:rPr>
          <w:rFonts w:ascii="Times New Roman" w:hAnsi="Times New Roman" w:cs="Times New Roman"/>
        </w:rPr>
      </w:pPr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="002C611C">
        <w:rPr>
          <w:rFonts w:ascii="Times New Roman" w:hAnsi="Times New Roman" w:cs="Times New Roman"/>
          <w:b/>
        </w:rPr>
        <w:t>2</w:t>
      </w:r>
      <w:r w:rsidRPr="0063134B">
        <w:rPr>
          <w:rFonts w:ascii="Times New Roman" w:hAnsi="Times New Roman" w:cs="Times New Roman"/>
          <w:b/>
        </w:rPr>
        <w:t xml:space="preserve">. MLN4924 </w:t>
      </w:r>
      <w:r>
        <w:rPr>
          <w:rFonts w:ascii="Times New Roman" w:hAnsi="Times New Roman" w:cs="Times New Roman"/>
          <w:b/>
        </w:rPr>
        <w:t xml:space="preserve">treatment suppresses </w:t>
      </w:r>
      <w:r w:rsidR="00AA7BAE">
        <w:rPr>
          <w:rFonts w:ascii="Times New Roman" w:hAnsi="Times New Roman" w:cs="Times New Roman"/>
          <w:b/>
        </w:rPr>
        <w:t>Smad2/3 activity and promotes TGFBR2 protein degradation in A2058</w:t>
      </w:r>
      <w:r w:rsidRPr="0063134B">
        <w:rPr>
          <w:rFonts w:ascii="Times New Roman" w:hAnsi="Times New Roman" w:cs="Times New Roman"/>
          <w:b/>
        </w:rPr>
        <w:t xml:space="preserve"> BRAF</w:t>
      </w:r>
      <w:r w:rsidRPr="0063134B">
        <w:rPr>
          <w:rFonts w:ascii="Times New Roman" w:hAnsi="Times New Roman" w:cs="Times New Roman"/>
          <w:b/>
          <w:vertAlign w:val="superscript"/>
        </w:rPr>
        <w:t>V600E</w:t>
      </w:r>
      <w:r w:rsidRPr="0063134B">
        <w:rPr>
          <w:rFonts w:ascii="Times New Roman" w:hAnsi="Times New Roman" w:cs="Times New Roman"/>
          <w:b/>
        </w:rPr>
        <w:t xml:space="preserve"> melanoma cells. </w:t>
      </w:r>
      <w:r w:rsidRPr="0063134B">
        <w:rPr>
          <w:rFonts w:ascii="Times New Roman" w:hAnsi="Times New Roman" w:cs="Times New Roman"/>
        </w:rPr>
        <w:t>(</w:t>
      </w:r>
      <w:r w:rsidR="00AA7BAE">
        <w:rPr>
          <w:rFonts w:ascii="Times New Roman" w:hAnsi="Times New Roman" w:cs="Times New Roman"/>
        </w:rPr>
        <w:t>A</w:t>
      </w:r>
      <w:r w:rsidRPr="0063134B">
        <w:rPr>
          <w:rFonts w:ascii="Times New Roman" w:hAnsi="Times New Roman" w:cs="Times New Roman"/>
        </w:rPr>
        <w:t xml:space="preserve"> and </w:t>
      </w:r>
      <w:r w:rsidR="00AA7BAE">
        <w:rPr>
          <w:rFonts w:ascii="Times New Roman" w:hAnsi="Times New Roman" w:cs="Times New Roman"/>
        </w:rPr>
        <w:t>B</w:t>
      </w:r>
      <w:r w:rsidRPr="0063134B">
        <w:rPr>
          <w:rFonts w:ascii="Times New Roman" w:hAnsi="Times New Roman" w:cs="Times New Roman"/>
        </w:rPr>
        <w:t xml:space="preserve">) Western blot analyses </w:t>
      </w:r>
      <w:r>
        <w:rPr>
          <w:rFonts w:ascii="Times New Roman" w:hAnsi="Times New Roman" w:cs="Times New Roman"/>
        </w:rPr>
        <w:t>of the</w:t>
      </w:r>
      <w:r w:rsidRPr="0063134B">
        <w:rPr>
          <w:rFonts w:ascii="Times New Roman" w:hAnsi="Times New Roman" w:cs="Times New Roman"/>
        </w:rPr>
        <w:t xml:space="preserve"> </w:t>
      </w:r>
      <w:r w:rsidRPr="0063134B">
        <w:rPr>
          <w:rFonts w:ascii="Times New Roman" w:hAnsi="Times New Roman" w:cs="Times New Roman"/>
        </w:rPr>
        <w:lastRenderedPageBreak/>
        <w:t>protein levels of phosphorylated Smad2/3 (p-Smad2/3), total Smad2/3</w:t>
      </w:r>
      <w:r>
        <w:rPr>
          <w:rFonts w:ascii="Times New Roman" w:hAnsi="Times New Roman" w:cs="Times New Roman"/>
        </w:rPr>
        <w:t>,</w:t>
      </w:r>
      <w:r w:rsidRPr="0063134B">
        <w:rPr>
          <w:rFonts w:ascii="Times New Roman" w:hAnsi="Times New Roman" w:cs="Times New Roman"/>
        </w:rPr>
        <w:t xml:space="preserve"> and GAPDH in </w:t>
      </w:r>
      <w:r w:rsidR="00AA7BAE">
        <w:rPr>
          <w:rFonts w:ascii="Times New Roman" w:hAnsi="Times New Roman" w:cs="Times New Roman"/>
        </w:rPr>
        <w:t>A2058</w:t>
      </w:r>
      <w:r w:rsidRPr="0063134B">
        <w:rPr>
          <w:rFonts w:ascii="Times New Roman" w:hAnsi="Times New Roman" w:cs="Times New Roman"/>
        </w:rPr>
        <w:t xml:space="preserve"> cells treated without and with ML4924 at the indicated concentrations for 2 h (</w:t>
      </w:r>
      <w:r w:rsidR="00AA7BAE">
        <w:rPr>
          <w:rFonts w:ascii="Times New Roman" w:hAnsi="Times New Roman" w:cs="Times New Roman"/>
        </w:rPr>
        <w:t>A</w:t>
      </w:r>
      <w:r w:rsidRPr="0063134B">
        <w:rPr>
          <w:rFonts w:ascii="Times New Roman" w:hAnsi="Times New Roman" w:cs="Times New Roman"/>
        </w:rPr>
        <w:t xml:space="preserve">) or at 1 </w:t>
      </w:r>
      <w:r w:rsidRPr="0063134B">
        <w:rPr>
          <w:rFonts w:ascii="Times New Roman" w:hAnsi="Times New Roman" w:cs="Times New Roman"/>
        </w:rPr>
        <w:sym w:font="Symbol" w:char="F06D"/>
      </w:r>
      <w:r w:rsidRPr="0063134B">
        <w:rPr>
          <w:rFonts w:ascii="Times New Roman" w:hAnsi="Times New Roman" w:cs="Times New Roman"/>
        </w:rPr>
        <w:t>M for the designated time intervals (</w:t>
      </w:r>
      <w:r w:rsidR="00AA7BAE">
        <w:rPr>
          <w:rFonts w:ascii="Times New Roman" w:hAnsi="Times New Roman" w:cs="Times New Roman"/>
        </w:rPr>
        <w:t>B</w:t>
      </w:r>
      <w:r w:rsidRPr="0063134B">
        <w:rPr>
          <w:rFonts w:ascii="Times New Roman" w:hAnsi="Times New Roman" w:cs="Times New Roman"/>
        </w:rPr>
        <w:t>). (</w:t>
      </w:r>
      <w:r w:rsidR="00AA7BAE">
        <w:rPr>
          <w:rFonts w:ascii="Times New Roman" w:hAnsi="Times New Roman" w:cs="Times New Roman"/>
        </w:rPr>
        <w:t>C</w:t>
      </w:r>
      <w:r w:rsidRPr="0063134B">
        <w:rPr>
          <w:rFonts w:ascii="Times New Roman" w:hAnsi="Times New Roman" w:cs="Times New Roman"/>
        </w:rPr>
        <w:t xml:space="preserve">) Bar chart </w:t>
      </w:r>
      <w:r>
        <w:rPr>
          <w:rFonts w:ascii="Times New Roman" w:hAnsi="Times New Roman" w:cs="Times New Roman"/>
        </w:rPr>
        <w:t>of</w:t>
      </w:r>
      <w:r w:rsidRPr="008473D8">
        <w:rPr>
          <w:rFonts w:ascii="Times New Roman" w:hAnsi="Times New Roman" w:cs="Times New Roman"/>
          <w:iCs/>
        </w:rPr>
        <w:t xml:space="preserve"> </w:t>
      </w:r>
      <w:r w:rsidRPr="00645AC6">
        <w:rPr>
          <w:rFonts w:ascii="Times New Roman" w:hAnsi="Times New Roman" w:cs="Times New Roman"/>
          <w:iCs/>
        </w:rPr>
        <w:t>firefly</w:t>
      </w:r>
      <w:r w:rsidRPr="008473D8">
        <w:rPr>
          <w:rFonts w:ascii="Times New Roman" w:hAnsi="Times New Roman" w:cs="Times New Roman"/>
          <w:iCs/>
        </w:rPr>
        <w:t xml:space="preserve"> </w:t>
      </w:r>
      <w:r w:rsidRPr="0063134B">
        <w:rPr>
          <w:rFonts w:ascii="Times New Roman" w:hAnsi="Times New Roman" w:cs="Times New Roman"/>
        </w:rPr>
        <w:t xml:space="preserve">luciferase activity normalized to </w:t>
      </w:r>
      <w:r w:rsidRPr="0063134B">
        <w:rPr>
          <w:rFonts w:ascii="Times New Roman" w:hAnsi="Times New Roman" w:cs="Times New Roman"/>
          <w:i/>
        </w:rPr>
        <w:t>Renilla</w:t>
      </w:r>
      <w:r w:rsidRPr="0063134B">
        <w:rPr>
          <w:rFonts w:ascii="Times New Roman" w:hAnsi="Times New Roman" w:cs="Times New Roman"/>
        </w:rPr>
        <w:t xml:space="preserve"> luciferase activity in </w:t>
      </w:r>
      <w:r w:rsidR="00AA7BAE">
        <w:rPr>
          <w:rFonts w:ascii="Times New Roman" w:hAnsi="Times New Roman" w:cs="Times New Roman"/>
        </w:rPr>
        <w:t>A2058</w:t>
      </w:r>
      <w:r w:rsidRPr="0063134B">
        <w:rPr>
          <w:rFonts w:ascii="Times New Roman" w:hAnsi="Times New Roman" w:cs="Times New Roman"/>
        </w:rPr>
        <w:t xml:space="preserve"> cells cotransfected with the Smad2/3-responsive</w:t>
      </w:r>
      <w:r w:rsidRPr="008473D8">
        <w:rPr>
          <w:rFonts w:ascii="Times New Roman" w:hAnsi="Times New Roman" w:cs="Times New Roman"/>
          <w:iCs/>
        </w:rPr>
        <w:t xml:space="preserve"> </w:t>
      </w:r>
      <w:r w:rsidRPr="00645AC6">
        <w:rPr>
          <w:rFonts w:ascii="Times New Roman" w:hAnsi="Times New Roman" w:cs="Times New Roman"/>
          <w:iCs/>
        </w:rPr>
        <w:t>firefly</w:t>
      </w:r>
      <w:r w:rsidRPr="008473D8">
        <w:rPr>
          <w:rFonts w:ascii="Times New Roman" w:hAnsi="Times New Roman" w:cs="Times New Roman"/>
          <w:iCs/>
        </w:rPr>
        <w:t xml:space="preserve"> </w:t>
      </w:r>
      <w:r w:rsidRPr="0063134B">
        <w:rPr>
          <w:rFonts w:ascii="Times New Roman" w:hAnsi="Times New Roman" w:cs="Times New Roman"/>
        </w:rPr>
        <w:t xml:space="preserve">luciferase reporter and </w:t>
      </w:r>
      <w:r w:rsidRPr="0063134B">
        <w:rPr>
          <w:rFonts w:ascii="Times New Roman" w:hAnsi="Times New Roman" w:cs="Times New Roman"/>
          <w:i/>
        </w:rPr>
        <w:t>Renilla</w:t>
      </w:r>
      <w:r w:rsidRPr="0063134B">
        <w:rPr>
          <w:rFonts w:ascii="Times New Roman" w:hAnsi="Times New Roman" w:cs="Times New Roman"/>
        </w:rPr>
        <w:t xml:space="preserve"> luciferase-expressing plasmids in the absence or presence</w:t>
      </w:r>
      <w:r>
        <w:rPr>
          <w:rFonts w:ascii="Times New Roman" w:hAnsi="Times New Roman" w:cs="Times New Roman"/>
        </w:rPr>
        <w:t xml:space="preserve"> of</w:t>
      </w:r>
      <w:r w:rsidRPr="0063134B">
        <w:rPr>
          <w:rFonts w:ascii="Times New Roman" w:hAnsi="Times New Roman" w:cs="Times New Roman"/>
        </w:rPr>
        <w:t xml:space="preserve"> ML4924 at the indicated concentrations. The error bars represent data from three independent experiments. The symbols “n.s</w:t>
      </w:r>
      <w:r>
        <w:rPr>
          <w:rFonts w:ascii="Times New Roman" w:hAnsi="Times New Roman" w:cs="Times New Roman"/>
        </w:rPr>
        <w:t>.</w:t>
      </w:r>
      <w:r w:rsidRPr="0063134B">
        <w:rPr>
          <w:rFonts w:ascii="Times New Roman" w:hAnsi="Times New Roman" w:cs="Times New Roman"/>
        </w:rPr>
        <w:t xml:space="preserve">” and “***” denote not significant and </w:t>
      </w:r>
      <w:r w:rsidRPr="00645AC6">
        <w:rPr>
          <w:rFonts w:ascii="Times New Roman" w:hAnsi="Times New Roman" w:cs="Times New Roman"/>
          <w:i/>
          <w:iCs/>
        </w:rPr>
        <w:t>p</w:t>
      </w:r>
      <w:r w:rsidRPr="0063134B">
        <w:rPr>
          <w:rFonts w:ascii="Times New Roman" w:hAnsi="Times New Roman" w:cs="Times New Roman"/>
        </w:rPr>
        <w:t xml:space="preserve"> &lt; 0.001, respectively, in the statistical analyses. (</w:t>
      </w:r>
      <w:r w:rsidR="00AA7BAE">
        <w:rPr>
          <w:rFonts w:ascii="Times New Roman" w:hAnsi="Times New Roman" w:cs="Times New Roman"/>
        </w:rPr>
        <w:t>D</w:t>
      </w:r>
      <w:r w:rsidRPr="0063134B">
        <w:rPr>
          <w:rFonts w:ascii="Times New Roman" w:hAnsi="Times New Roman" w:cs="Times New Roman"/>
        </w:rPr>
        <w:t xml:space="preserve">) Western blot analyses </w:t>
      </w:r>
      <w:r>
        <w:rPr>
          <w:rFonts w:ascii="Times New Roman" w:hAnsi="Times New Roman" w:cs="Times New Roman"/>
        </w:rPr>
        <w:t>of</w:t>
      </w:r>
      <w:r w:rsidRPr="0063134B">
        <w:rPr>
          <w:rFonts w:ascii="Times New Roman" w:hAnsi="Times New Roman" w:cs="Times New Roman"/>
        </w:rPr>
        <w:t xml:space="preserve"> TGFBR2 and GAPDH protein levels in the </w:t>
      </w:r>
      <w:r>
        <w:rPr>
          <w:rFonts w:ascii="Times New Roman" w:hAnsi="Times New Roman" w:cs="Times New Roman"/>
        </w:rPr>
        <w:t>c</w:t>
      </w:r>
      <w:r w:rsidRPr="0063134B">
        <w:rPr>
          <w:rFonts w:ascii="Times New Roman" w:hAnsi="Times New Roman" w:cs="Times New Roman"/>
        </w:rPr>
        <w:t>ycloheximide</w:t>
      </w:r>
      <w:r>
        <w:rPr>
          <w:rFonts w:ascii="Times New Roman" w:hAnsi="Times New Roman" w:cs="Times New Roman"/>
        </w:rPr>
        <w:t xml:space="preserve"> </w:t>
      </w:r>
      <w:r w:rsidRPr="0063134B">
        <w:rPr>
          <w:rFonts w:ascii="Times New Roman" w:hAnsi="Times New Roman" w:cs="Times New Roman"/>
        </w:rPr>
        <w:t xml:space="preserve">chase assay at the designated time intervals in </w:t>
      </w:r>
      <w:r w:rsidR="00AA7BAE">
        <w:rPr>
          <w:rFonts w:ascii="Times New Roman" w:hAnsi="Times New Roman" w:cs="Times New Roman"/>
        </w:rPr>
        <w:t>A2058</w:t>
      </w:r>
      <w:r w:rsidRPr="0063134B">
        <w:rPr>
          <w:rFonts w:ascii="Times New Roman" w:hAnsi="Times New Roman" w:cs="Times New Roman"/>
        </w:rPr>
        <w:t xml:space="preserve"> cells pretreated without or with ML4924 at 1 </w:t>
      </w:r>
      <w:r w:rsidRPr="0063134B">
        <w:rPr>
          <w:rFonts w:ascii="Times New Roman" w:hAnsi="Times New Roman" w:cs="Times New Roman"/>
        </w:rPr>
        <w:sym w:font="Symbol" w:char="F06D"/>
      </w:r>
      <w:r w:rsidRPr="0063134B">
        <w:rPr>
          <w:rFonts w:ascii="Times New Roman" w:hAnsi="Times New Roman" w:cs="Times New Roman"/>
        </w:rPr>
        <w:t>M for 2 h. In</w:t>
      </w:r>
      <w:r>
        <w:rPr>
          <w:rFonts w:ascii="Times New Roman" w:hAnsi="Times New Roman" w:cs="Times New Roman"/>
        </w:rPr>
        <w:t xml:space="preserve"> panels</w:t>
      </w:r>
      <w:r w:rsidRPr="006313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AA7BA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 w:rsidRPr="0063134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</w:t>
      </w:r>
      <w:r w:rsidR="00AA7BAE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),</w:t>
      </w:r>
      <w:r w:rsidRPr="0063134B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(</w:t>
      </w:r>
      <w:r w:rsidR="00AA7BAE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)</w:t>
      </w:r>
      <w:r w:rsidRPr="0063134B">
        <w:rPr>
          <w:rFonts w:ascii="Times New Roman" w:hAnsi="Times New Roman" w:cs="Times New Roman"/>
        </w:rPr>
        <w:t xml:space="preserve">, GAPDH was used as an internal control of protein loading. </w:t>
      </w:r>
    </w:p>
    <w:p w:rsidR="00FC179D" w:rsidRDefault="00FC179D"/>
    <w:p w:rsidR="00DB0322" w:rsidRDefault="00DB0322"/>
    <w:p w:rsidR="00DB0322" w:rsidRDefault="00DB0322">
      <w:r>
        <w:rPr>
          <w:rFonts w:hint="eastAsia"/>
          <w:noProof/>
        </w:rPr>
        <w:drawing>
          <wp:inline distT="0" distB="0" distL="0" distR="0">
            <wp:extent cx="5486400" cy="9429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" b="85677"/>
                    <a:stretch/>
                  </pic:blipFill>
                  <pic:spPr bwMode="auto">
                    <a:xfrm>
                      <a:off x="0" y="0"/>
                      <a:ext cx="5486400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322" w:rsidRPr="00DB0322" w:rsidRDefault="00DB0322" w:rsidP="00DB0322"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="002C611C">
        <w:rPr>
          <w:rFonts w:ascii="Times New Roman" w:hAnsi="Times New Roman" w:cs="Times New Roman"/>
          <w:b/>
        </w:rPr>
        <w:t>3</w:t>
      </w:r>
      <w:r w:rsidRPr="006313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TGFBR2 expression is causally associated with cellular migration ability in </w:t>
      </w:r>
      <w:r w:rsidRPr="0063134B">
        <w:rPr>
          <w:rFonts w:ascii="Times New Roman" w:hAnsi="Times New Roman" w:cs="Times New Roman"/>
          <w:b/>
        </w:rPr>
        <w:t>BRAF</w:t>
      </w:r>
      <w:r w:rsidRPr="0063134B">
        <w:rPr>
          <w:rFonts w:ascii="Times New Roman" w:hAnsi="Times New Roman" w:cs="Times New Roman"/>
          <w:b/>
          <w:vertAlign w:val="superscript"/>
        </w:rPr>
        <w:t>V600E</w:t>
      </w:r>
      <w:r w:rsidRPr="0063134B">
        <w:rPr>
          <w:rFonts w:ascii="Times New Roman" w:hAnsi="Times New Roman" w:cs="Times New Roman"/>
          <w:b/>
        </w:rPr>
        <w:t xml:space="preserve"> melanoma cells.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RT-PCR expression for endogenous mRNA levels of TGFRB2 in the tested melanoma cell lines. GAPDH was used as internal control of experiment. </w:t>
      </w:r>
    </w:p>
    <w:p w:rsidR="00DB0322" w:rsidRPr="00DB0322" w:rsidRDefault="00DB0322"/>
    <w:p w:rsidR="00DB0322" w:rsidRDefault="00DB0322"/>
    <w:p w:rsidR="00DB0322" w:rsidRDefault="00DB0322"/>
    <w:p w:rsidR="00DB0322" w:rsidRDefault="00DB0322"/>
    <w:p w:rsidR="00DB0322" w:rsidRDefault="00DB0322">
      <w:r>
        <w:rPr>
          <w:rFonts w:hint="eastAsia"/>
          <w:noProof/>
        </w:rPr>
        <w:drawing>
          <wp:inline distT="0" distB="0" distL="0" distR="0">
            <wp:extent cx="5486400" cy="126682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4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" b="80990"/>
                    <a:stretch/>
                  </pic:blipFill>
                  <pic:spPr bwMode="auto">
                    <a:xfrm>
                      <a:off x="0" y="0"/>
                      <a:ext cx="5486400" cy="126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322" w:rsidRDefault="00DB0322" w:rsidP="00326C96">
      <w:pPr>
        <w:jc w:val="both"/>
        <w:rPr>
          <w:rFonts w:ascii="Times New Roman" w:hAnsi="Times New Roman" w:cs="Times New Roman"/>
        </w:rPr>
      </w:pPr>
      <w:r w:rsidRPr="0063134B">
        <w:rPr>
          <w:rFonts w:ascii="Times New Roman" w:hAnsi="Times New Roman" w:cs="Times New Roman"/>
          <w:b/>
        </w:rPr>
        <w:t xml:space="preserve">Figure </w:t>
      </w:r>
      <w:r>
        <w:rPr>
          <w:rFonts w:ascii="Times New Roman" w:hAnsi="Times New Roman" w:cs="Times New Roman"/>
          <w:b/>
        </w:rPr>
        <w:t>S</w:t>
      </w:r>
      <w:r w:rsidR="002C611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Knockdown of c-Cbl accelerates protein degradation of TGFBR2 in A2058 cells. </w:t>
      </w:r>
      <w:r w:rsidRPr="0063134B">
        <w:rPr>
          <w:rFonts w:ascii="Times New Roman" w:hAnsi="Times New Roman" w:cs="Times New Roman"/>
        </w:rPr>
        <w:t xml:space="preserve">Western blot analyses </w:t>
      </w:r>
      <w:r>
        <w:rPr>
          <w:rFonts w:ascii="Times New Roman" w:hAnsi="Times New Roman" w:cs="Times New Roman"/>
        </w:rPr>
        <w:t>of</w:t>
      </w:r>
      <w:r w:rsidRPr="0063134B">
        <w:rPr>
          <w:rFonts w:ascii="Times New Roman" w:hAnsi="Times New Roman" w:cs="Times New Roman"/>
        </w:rPr>
        <w:t xml:space="preserve"> TGFBR2 and GAPDH protein levels in the </w:t>
      </w:r>
      <w:r>
        <w:rPr>
          <w:rFonts w:ascii="Times New Roman" w:hAnsi="Times New Roman" w:cs="Times New Roman"/>
        </w:rPr>
        <w:t>c</w:t>
      </w:r>
      <w:r w:rsidRPr="0063134B">
        <w:rPr>
          <w:rFonts w:ascii="Times New Roman" w:hAnsi="Times New Roman" w:cs="Times New Roman"/>
        </w:rPr>
        <w:t>ycloheximide</w:t>
      </w:r>
      <w:r>
        <w:rPr>
          <w:rFonts w:ascii="Times New Roman" w:hAnsi="Times New Roman" w:cs="Times New Roman"/>
        </w:rPr>
        <w:t xml:space="preserve"> </w:t>
      </w:r>
      <w:r w:rsidRPr="0063134B">
        <w:rPr>
          <w:rFonts w:ascii="Times New Roman" w:hAnsi="Times New Roman" w:cs="Times New Roman"/>
        </w:rPr>
        <w:t xml:space="preserve">chase assay at the designated time intervals in </w:t>
      </w:r>
      <w:r>
        <w:rPr>
          <w:rFonts w:ascii="Times New Roman" w:hAnsi="Times New Roman" w:cs="Times New Roman"/>
        </w:rPr>
        <w:t>A2058</w:t>
      </w:r>
      <w:r w:rsidRPr="0063134B">
        <w:rPr>
          <w:rFonts w:ascii="Times New Roman" w:hAnsi="Times New Roman" w:cs="Times New Roman"/>
        </w:rPr>
        <w:t xml:space="preserve"> cells </w:t>
      </w:r>
      <w:r w:rsidR="00326C96">
        <w:rPr>
          <w:rFonts w:ascii="Times New Roman" w:hAnsi="Times New Roman" w:cs="Times New Roman"/>
        </w:rPr>
        <w:t>without (non-silencing, NS) or with c-Cbl knockdown (KD)</w:t>
      </w:r>
      <w:r w:rsidRPr="0063134B">
        <w:rPr>
          <w:rFonts w:ascii="Times New Roman" w:hAnsi="Times New Roman" w:cs="Times New Roman"/>
        </w:rPr>
        <w:t>.</w:t>
      </w:r>
      <w:r w:rsidRPr="00DB0322">
        <w:rPr>
          <w:rFonts w:ascii="Times New Roman" w:hAnsi="Times New Roman" w:cs="Times New Roman"/>
        </w:rPr>
        <w:t xml:space="preserve"> </w:t>
      </w:r>
      <w:r w:rsidRPr="0063134B">
        <w:rPr>
          <w:rFonts w:ascii="Times New Roman" w:hAnsi="Times New Roman" w:cs="Times New Roman"/>
        </w:rPr>
        <w:t>GAPDH was used as an internal control of protein loading.</w:t>
      </w:r>
    </w:p>
    <w:p w:rsidR="00326C96" w:rsidRDefault="00326C96" w:rsidP="00326C96">
      <w:pPr>
        <w:jc w:val="both"/>
        <w:rPr>
          <w:rFonts w:ascii="Times New Roman" w:hAnsi="Times New Roman" w:cs="Times New Roman"/>
        </w:rPr>
      </w:pPr>
    </w:p>
    <w:p w:rsidR="00326C96" w:rsidRDefault="00326C96" w:rsidP="00326C96">
      <w:pPr>
        <w:jc w:val="both"/>
        <w:rPr>
          <w:rFonts w:ascii="Times New Roman" w:hAnsi="Times New Roman" w:cs="Times New Roman"/>
        </w:rPr>
      </w:pPr>
    </w:p>
    <w:p w:rsidR="00326C96" w:rsidRDefault="00326C96" w:rsidP="00326C96">
      <w:pPr>
        <w:jc w:val="both"/>
      </w:pPr>
    </w:p>
    <w:p w:rsidR="005413AE" w:rsidRDefault="005413AE" w:rsidP="00326C96">
      <w:pPr>
        <w:jc w:val="both"/>
      </w:pPr>
    </w:p>
    <w:p w:rsidR="005413AE" w:rsidRDefault="005413AE" w:rsidP="00326C96">
      <w:pPr>
        <w:jc w:val="both"/>
      </w:pPr>
    </w:p>
    <w:p w:rsidR="005413AE" w:rsidRDefault="005413AE" w:rsidP="00326C96">
      <w:pPr>
        <w:jc w:val="both"/>
      </w:pPr>
      <w:bookmarkStart w:id="0" w:name="_GoBack"/>
      <w:bookmarkEnd w:id="0"/>
    </w:p>
    <w:sectPr w:rsidR="005413AE" w:rsidSect="00DC0E02">
      <w:footerReference w:type="default" r:id="rId10"/>
      <w:pgSz w:w="11906" w:h="16838"/>
      <w:pgMar w:top="1134" w:right="1274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5FC" w:rsidRDefault="007A65FC" w:rsidP="00823452">
      <w:r>
        <w:separator/>
      </w:r>
    </w:p>
  </w:endnote>
  <w:endnote w:type="continuationSeparator" w:id="0">
    <w:p w:rsidR="007A65FC" w:rsidRDefault="007A65FC" w:rsidP="0082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687946"/>
      <w:docPartObj>
        <w:docPartGallery w:val="Page Numbers (Bottom of Page)"/>
        <w:docPartUnique/>
      </w:docPartObj>
    </w:sdtPr>
    <w:sdtEndPr/>
    <w:sdtContent>
      <w:p w:rsidR="00823452" w:rsidRDefault="00823452" w:rsidP="00823452">
        <w:pPr>
          <w:pStyle w:val="a5"/>
          <w:jc w:val="center"/>
        </w:pPr>
        <w:r w:rsidRPr="00823452">
          <w:rPr>
            <w:rFonts w:ascii="Times New Roman" w:hAnsi="Times New Roman" w:cs="Times New Roman"/>
            <w:sz w:val="24"/>
          </w:rPr>
          <w:fldChar w:fldCharType="begin"/>
        </w:r>
        <w:r w:rsidRPr="00823452">
          <w:rPr>
            <w:rFonts w:ascii="Times New Roman" w:hAnsi="Times New Roman" w:cs="Times New Roman"/>
            <w:sz w:val="24"/>
          </w:rPr>
          <w:instrText>PAGE   \* MERGEFORMAT</w:instrText>
        </w:r>
        <w:r w:rsidRPr="00823452">
          <w:rPr>
            <w:rFonts w:ascii="Times New Roman" w:hAnsi="Times New Roman" w:cs="Times New Roman"/>
            <w:sz w:val="24"/>
          </w:rPr>
          <w:fldChar w:fldCharType="separate"/>
        </w:r>
        <w:r w:rsidR="003F1FBE" w:rsidRPr="003F1FBE">
          <w:rPr>
            <w:rFonts w:ascii="Times New Roman" w:hAnsi="Times New Roman" w:cs="Times New Roman"/>
            <w:noProof/>
            <w:sz w:val="24"/>
            <w:lang w:val="zh-TW"/>
          </w:rPr>
          <w:t>2</w:t>
        </w:r>
        <w:r w:rsidRPr="00823452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5FC" w:rsidRDefault="007A65FC" w:rsidP="00823452">
      <w:r>
        <w:separator/>
      </w:r>
    </w:p>
  </w:footnote>
  <w:footnote w:type="continuationSeparator" w:id="0">
    <w:p w:rsidR="007A65FC" w:rsidRDefault="007A65FC" w:rsidP="00823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02"/>
    <w:rsid w:val="002C611C"/>
    <w:rsid w:val="00326C96"/>
    <w:rsid w:val="003F1FBE"/>
    <w:rsid w:val="005413AE"/>
    <w:rsid w:val="00691E01"/>
    <w:rsid w:val="007A65FC"/>
    <w:rsid w:val="00823452"/>
    <w:rsid w:val="00AA7BAE"/>
    <w:rsid w:val="00DB0322"/>
    <w:rsid w:val="00DC0E02"/>
    <w:rsid w:val="00F10EFD"/>
    <w:rsid w:val="00F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6C0806-6C24-40FD-B431-5B9A7F0C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E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345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3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34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Company>Microsoft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2026-07-29T06:05:00Z</dcterms:created>
  <dcterms:modified xsi:type="dcterms:W3CDTF">2026-07-29T06:05:00Z</dcterms:modified>
</cp:coreProperties>
</file>