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723B" w14:textId="35228DD3" w:rsidR="00896B4B" w:rsidRPr="00DF3420" w:rsidRDefault="00E55EDB" w:rsidP="005E6E48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480" w:lineRule="auto"/>
        <w:ind w:right="60"/>
        <w:jc w:val="left"/>
        <w:rPr>
          <w:rFonts w:ascii="Aptos" w:hAnsi="Aptos"/>
          <w:b w:val="0"/>
          <w:bCs/>
          <w:i w:val="0"/>
          <w:iCs/>
        </w:rPr>
      </w:pPr>
      <w:r w:rsidRPr="00DF3420">
        <w:rPr>
          <w:rFonts w:ascii="Times New Roman" w:hAnsi="Times New Roman" w:cs="Times New Roman" w:eastAsia="Times New Roman"/>
          <w:i w:val="0"/>
          <w:iCs/>
        </w:rPr>
        <w:t>Additional file 1. Comparison of the geriatric outpatient clinic population with the study cohort.</w:t>
      </w:r>
      <w:r w:rsidR="00AB2953" w:rsidRPr="00DF3420">
        <w:rPr>
          <w:rFonts w:ascii="Times New Roman" w:hAnsi="Times New Roman" w:cs="Times New Roman" w:eastAsia="Times New Roman"/>
          <w:i w:val="0"/>
          <w:iCs/>
        </w:rPr>
      </w:r>
      <w:r w:rsidRPr="00DF3420">
        <w:rPr>
          <w:rFonts w:ascii="Times New Roman" w:hAnsi="Times New Roman" w:cs="Times New Roman" w:eastAsia="Times New Roman"/>
          <w:i w:val="0"/>
          <w:iCs/>
        </w:rPr>
      </w:r>
      <w:r w:rsidR="00AB2953" w:rsidRPr="00DF3420">
        <w:rPr>
          <w:rFonts w:ascii="Times New Roman" w:hAnsi="Times New Roman" w:cs="Times New Roman" w:eastAsia="Times New Roman"/>
          <w:i w:val="0"/>
          <w:iCs/>
        </w:rPr>
      </w:r>
      <w:r w:rsidR="00AB2953" w:rsidRPr="00DF3420">
        <w:rPr>
          <w:rFonts w:ascii="Times New Roman" w:hAnsi="Times New Roman" w:cs="Times New Roman" w:eastAsia="Times New Roman"/>
          <w:b w:val="0"/>
          <w:bCs/>
          <w:i w:val="0"/>
          <w:iCs/>
        </w:rPr>
      </w:r>
    </w:p>
    <w:tbl>
      <w:tblPr>
        <w:tblStyle w:val="TableGrid"/>
        <w:tblW w:w="9792" w:type="dxa"/>
        <w:tblLayout w:type="fixed"/>
        <w:tblLook w:val="0420" w:firstRow="1" w:lastRow="0" w:firstColumn="0" w:lastColumn="0" w:noHBand="0" w:noVBand="1"/>
      </w:tblPr>
      <w:tblGrid>
        <w:gridCol w:w="4032"/>
        <w:gridCol w:w="2880"/>
        <w:gridCol w:w="2880"/>
      </w:tblGrid>
      <w:tr w:rsidR="00896B4B" w:rsidRPr="00DF3420" w14:paraId="44EE4A9F" w14:textId="77777777" w:rsidTr="00AE1657">
        <w:tc>
          <w:tcPr>
            <w:tcW w:w="4032" w:type="dxa"/>
          </w:tcPr>
          <w:p w14:paraId="256711E9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ptos" w:eastAsia="Times New Roman" w:hAnsi="Aptos" w:cs="Times New Roman"/>
                <w:b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2880" w:type="dxa"/>
          </w:tcPr>
          <w:p w14:paraId="7E26CE44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Aptos" w:eastAsia="Times New Roman" w:hAnsi="Aptos" w:cs="Times New Roman"/>
                <w:b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Clinic population</w:t>
            </w:r>
            <w:r w:rsidRPr="00DF3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br/>
              <w:t>(n = 14,353)</w:t>
            </w:r>
          </w:p>
        </w:tc>
        <w:tc>
          <w:tcPr>
            <w:tcW w:w="2880" w:type="dxa"/>
          </w:tcPr>
          <w:p w14:paraId="31C3F081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Aptos" w:eastAsia="Times New Roman" w:hAnsi="Aptos" w:cs="Times New Roman"/>
                <w:b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Study cohort</w:t>
            </w:r>
            <w:r w:rsidRPr="00DF3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br/>
              <w:t>(n = 646)</w:t>
            </w:r>
          </w:p>
        </w:tc>
      </w:tr>
      <w:tr w:rsidR="00896B4B" w:rsidRPr="00DF3420" w14:paraId="10C272E9" w14:textId="77777777" w:rsidTr="00AE1657">
        <w:tc>
          <w:tcPr>
            <w:tcW w:w="4032" w:type="dxa"/>
          </w:tcPr>
          <w:p w14:paraId="02DFC6CC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Age, years (median [IQR])</w:t>
            </w:r>
          </w:p>
        </w:tc>
        <w:tc>
          <w:tcPr>
            <w:tcW w:w="2880" w:type="dxa"/>
          </w:tcPr>
          <w:p w14:paraId="5DDA3E60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 [69–80]</w:t>
            </w:r>
          </w:p>
        </w:tc>
        <w:tc>
          <w:tcPr>
            <w:tcW w:w="2880" w:type="dxa"/>
          </w:tcPr>
          <w:p w14:paraId="1897C08C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81.4 [77.5–85.4]</w:t>
            </w:r>
          </w:p>
        </w:tc>
      </w:tr>
      <w:tr w:rsidR="00896B4B" w:rsidRPr="00DF3420" w14:paraId="23884E6B" w14:textId="77777777" w:rsidTr="00AE1657">
        <w:tc>
          <w:tcPr>
            <w:tcW w:w="4032" w:type="dxa"/>
          </w:tcPr>
          <w:p w14:paraId="0EBF0307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Female, n (%)</w:t>
            </w:r>
          </w:p>
        </w:tc>
        <w:tc>
          <w:tcPr>
            <w:tcW w:w="2880" w:type="dxa"/>
          </w:tcPr>
          <w:p w14:paraId="50E3E7BA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8,655 (60.3%)</w:t>
            </w:r>
          </w:p>
        </w:tc>
        <w:tc>
          <w:tcPr>
            <w:tcW w:w="2880" w:type="dxa"/>
          </w:tcPr>
          <w:p w14:paraId="523DAFA6" w14:textId="77777777" w:rsidR="00896B4B" w:rsidRPr="00DF342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</w:pPr>
            <w:r w:rsidRPr="00DF342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370 (57.3%)</w:t>
            </w:r>
          </w:p>
        </w:tc>
      </w:tr>
    </w:tbl>
    <w:p w14:paraId="3F3533EA" w14:textId="77777777" w:rsidR="00896B4B" w:rsidRPr="00DF3420" w:rsidRDefault="00896B4B">
      <w:pPr>
        <w:spacing w:line="480" w:lineRule="auto"/>
        <w:rPr>
          <w:rFonts w:ascii="Aptos" w:hAnsi="Aptos"/>
        </w:rPr>
      </w:pPr>
    </w:p>
    <w:p w14:paraId="77157810" w14:textId="23683095" w:rsidR="00896B4B" w:rsidRPr="00DF3420" w:rsidRDefault="00000000">
      <w:pPr>
        <w:spacing w:line="480" w:lineRule="auto"/>
        <w:rPr>
          <w:rFonts w:ascii="Aptos" w:hAnsi="Aptos"/>
        </w:rPr>
      </w:pPr>
      <w:r w:rsidRPr="00DF3420">
        <w:rPr>
          <w:rFonts w:ascii="Times New Roman" w:hAnsi="Times New Roman" w:cs="Times New Roman" w:eastAsia="Times New Roman"/>
        </w:rPr>
        <w:t xml:space="preserve">IQR, interquartile range. Age expressed as median [IQR]. The clinic population represents all unique patients aged ≥65 years attending the geriatric outpatient clinic between October 2012 and December 2019. </w:t>
      </w:r>
      <w:r w:rsidR="0050652B" w:rsidRPr="00DF3420">
        <w:rPr>
          <w:rFonts w:ascii="Times New Roman" w:hAnsi="Times New Roman" w:cs="Times New Roman" w:eastAsia="Times New Roman"/>
        </w:rPr>
        <w:t>The study cohort comprises patients identified as deceased in the death registry and complete covariate information after sequential exclusions</w:t>
      </w:r>
      <w:r w:rsidRPr="00DF3420">
        <w:rPr>
          <w:rFonts w:ascii="Times New Roman" w:hAnsi="Times New Roman" w:cs="Times New Roman" w:eastAsia="Times New Roman"/>
        </w:rPr>
        <w:t xml:space="preserve"> (see Figure 1).</w:t>
      </w:r>
    </w:p>
    <w:sectPr w:rsidR="00896B4B" w:rsidRPr="00DF3420" w:rsidSect="00747CCE">
      <w:headerReference w:type="default" r:id="rId7"/>
      <w:footerReference w:type="default" r:id="rId8"/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73391360">
    <w:abstractNumId w:val="1"/>
  </w:num>
  <w:num w:numId="2" w16cid:durableId="316423041">
    <w:abstractNumId w:val="2"/>
  </w:num>
  <w:num w:numId="3" w16cid:durableId="175416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50652B"/>
    <w:rsid w:val="005E6E48"/>
    <w:rsid w:val="00747CCE"/>
    <w:rsid w:val="007B3E96"/>
    <w:rsid w:val="00896B4B"/>
    <w:rsid w:val="008F1F48"/>
    <w:rsid w:val="00901463"/>
    <w:rsid w:val="00946CB3"/>
    <w:rsid w:val="00AB2953"/>
    <w:rsid w:val="00AE1657"/>
    <w:rsid w:val="00AE18EF"/>
    <w:rsid w:val="00AE1BDD"/>
    <w:rsid w:val="00B3547C"/>
    <w:rsid w:val="00B4379D"/>
    <w:rsid w:val="00BD461C"/>
    <w:rsid w:val="00C27329"/>
    <w:rsid w:val="00C31EEB"/>
    <w:rsid w:val="00DF3420"/>
    <w:rsid w:val="00E051C2"/>
    <w:rsid w:val="00E55ED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0CD61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table" w:styleId="TableGrid">
    <w:name w:val="Table Grid"/>
    <w:basedOn w:val="TableNormal"/>
    <w:uiPriority w:val="59"/>
    <w:rsid w:val="00DF3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OKAN TURHAN</cp:lastModifiedBy>
  <cp:revision>16</cp:revision>
  <dcterms:created xsi:type="dcterms:W3CDTF">2017-02-28T11:18:00Z</dcterms:created>
  <dcterms:modified xsi:type="dcterms:W3CDTF">2026-07-01T21:28:00Z</dcterms:modified>
  <cp:category/>
</cp:coreProperties>
</file>