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5769A" w14:textId="77777777" w:rsidR="002D6C95" w:rsidRDefault="00821EB2">
      <w:pPr>
        <w:spacing w:line="480" w:lineRule="auto"/>
        <w:rPr>
          <w:b/>
          <w:bCs/>
        </w:rPr>
      </w:pPr>
      <w:r>
        <w:rPr>
          <w:b/>
          <w:bCs/>
        </w:rPr>
        <w:t>Additional file 3. Time-dependent ROC curves for baseline CRP and all-cause death at 1, 2, and 3 years. Time-dependent receiver operating characteristic (ROC) curves, estimated with inverse-probability-of-censoring weighting, for baseline serum CRP as a predictor of all-cause death at (A) 1 year, (B) 2 years, and (C) 3 years. The area under the curve (AUC) with 95% CI is shown in each panel. Discrimination was poor at every horizon (AUC 0.556, 0.550, and 0.561, respectively), with lower confidence limits close to 0.50. The diagonal dashed line denotes chance-level discrimination (AUC = 0.50). AUC, area under the curve; CI, confidence interval; CRP, C-reactive protein; ROC, receiver operating characteristic.</w:t>
      </w:r>
    </w:p>
    <w:p w14:paraId="11437CBA" w14:textId="199F7FC5" w:rsidR="007A4A56" w:rsidRDefault="007A4A56">
      <w:pPr>
        <w:spacing w:line="480" w:lineRule="auto"/>
      </w:pPr>
      <w:r>
        <w:rPr>
          <w:noProof/>
        </w:rPr>
        <w:drawing>
          <wp:inline distT="0" distB="0" distL="0" distR="0" wp14:anchorId="16F56C01" wp14:editId="6A836BBA">
            <wp:extent cx="5760720" cy="2014855"/>
            <wp:effectExtent l="0" t="0" r="0" b="4445"/>
            <wp:docPr id="888233" name="Picture 1" descr="The diagram depicts a receiver operating characteristic (ROC) curve comparing the sensitivity and specificity of different models (A, B, C) for predicting mortality over a one-year period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233" name="Picture 1" descr="The diagram depicts a receiver operating characteristic (ROC) curve comparing the sensitivity and specificity of different models (A, B, C) for predicting mortality over a one-year period.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4A56" w:rsidSect="004F2B4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28C5B" w14:textId="77777777" w:rsidR="003B02DF" w:rsidRDefault="003B02DF">
      <w:pPr>
        <w:spacing w:after="0" w:line="240" w:lineRule="auto"/>
      </w:pPr>
      <w:r>
        <w:separator/>
      </w:r>
    </w:p>
  </w:endnote>
  <w:endnote w:type="continuationSeparator" w:id="0">
    <w:p w14:paraId="6C5C9209" w14:textId="77777777" w:rsidR="003B02DF" w:rsidRDefault="003B0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01E8" w14:textId="77777777" w:rsidR="005B7A23" w:rsidRDefault="005B7A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3E1CA" w14:textId="77777777" w:rsidR="003B02DF" w:rsidRDefault="003B02DF">
      <w:pPr>
        <w:spacing w:after="0" w:line="240" w:lineRule="auto"/>
      </w:pPr>
      <w:r>
        <w:separator/>
      </w:r>
    </w:p>
  </w:footnote>
  <w:footnote w:type="continuationSeparator" w:id="0">
    <w:p w14:paraId="08B9F5B0" w14:textId="77777777" w:rsidR="003B02DF" w:rsidRDefault="003B0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21F9" w14:textId="77777777" w:rsidR="005B7A23" w:rsidRDefault="005B7A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8E1"/>
    <w:rsid w:val="002D6C95"/>
    <w:rsid w:val="003B02DF"/>
    <w:rsid w:val="00431A76"/>
    <w:rsid w:val="004F2B42"/>
    <w:rsid w:val="005518D2"/>
    <w:rsid w:val="005B7A23"/>
    <w:rsid w:val="006F29F8"/>
    <w:rsid w:val="007748E1"/>
    <w:rsid w:val="007A4A56"/>
    <w:rsid w:val="00821EB2"/>
    <w:rsid w:val="008A7158"/>
    <w:rsid w:val="00A43D6B"/>
    <w:rsid w:val="00AA014F"/>
    <w:rsid w:val="00E051C2"/>
    <w:rsid w:val="00EA1997"/>
    <w:rsid w:val="00F1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332B0"/>
  <w15:chartTrackingRefBased/>
  <w15:docId w15:val="{8760D6D8-AC7A-4070-B7A2-6EBAC744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4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8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8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8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8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8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8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8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8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8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8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8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8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8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OKAN TURHAN</dc:creator>
  <cp:keywords/>
  <dc:description/>
  <cp:lastModifiedBy>OKAN TURHAN</cp:lastModifiedBy>
  <cp:revision>4</cp:revision>
  <dcterms:created xsi:type="dcterms:W3CDTF">2026-07-01T20:48:00Z</dcterms:created>
  <dcterms:modified xsi:type="dcterms:W3CDTF">2026-07-25T22:39:00Z</dcterms:modified>
</cp:coreProperties>
</file>