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44016" w14:textId="77777777" w:rsidR="0016380B" w:rsidRPr="0016380B" w:rsidRDefault="0016380B" w:rsidP="0016380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480" w:lineRule="auto"/>
      </w:pPr>
      <w:r w:rsidRPr="0016380B">
        <w:rPr>
          <w:rFonts w:eastAsia="Times New Roman"/>
          <w:b/>
          <w:color w:val="000000"/>
        </w:rPr>
        <w:t>Additional file 4. Sensitivity analyses across alternative cohort definitions.</w:t>
      </w:r>
      <w:r w:rsidR="00E451C0">
        <w:rPr>
          <w:rFonts w:eastAsia="Times New Roman"/>
          <w:b/>
          <w:color w:val="000000"/>
        </w:rPr>
      </w:r>
      <w:r w:rsidRPr="0016380B">
        <w:rPr>
          <w:rFonts w:eastAsia="Times New Roman"/>
          <w:b/>
          <w:color w:val="000000"/>
        </w:rPr>
      </w:r>
      <w:r w:rsidRPr="0016380B">
        <w:rPr>
          <w:rFonts w:eastAsia="Times New Roman"/>
          <w:color w:val="000000"/>
        </w:rPr>
      </w:r>
    </w:p>
    <w:p w14:paraId="4DAB6EE6" w14:textId="77777777" w:rsidR="0016380B" w:rsidRPr="0016380B" w:rsidRDefault="0016380B" w:rsidP="0016380B">
      <w:pPr>
        <w:spacing w:line="480" w:lineRule="auto"/>
      </w:pPr>
    </w:p>
    <w:tbl>
      <w:tblPr>
        <w:tblStyle w:val="TableGridLight"/>
        <w:tblW w:w="0" w:type="auto"/>
        <w:tblLook w:val="0420" w:firstRow="1" w:lastRow="0" w:firstColumn="0" w:lastColumn="0" w:noHBand="0" w:noVBand="1"/>
      </w:tblPr>
      <w:tblGrid>
        <w:gridCol w:w="1458"/>
        <w:gridCol w:w="1651"/>
        <w:gridCol w:w="776"/>
        <w:gridCol w:w="1235"/>
        <w:gridCol w:w="1319"/>
        <w:gridCol w:w="1624"/>
        <w:gridCol w:w="993"/>
      </w:tblGrid>
      <w:tr w:rsidR="0016380B" w:rsidRPr="0016380B" w14:paraId="1AB724EC" w14:textId="77777777" w:rsidTr="0016380B">
        <w:trPr>
          <w:trHeight w:val="1241"/>
        </w:trPr>
        <w:tc>
          <w:tcPr>
            <w:tcW w:w="0" w:type="auto"/>
          </w:tcPr>
          <w:p w14:paraId="44CA3E67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Cohort</w:t>
            </w:r>
          </w:p>
        </w:tc>
        <w:tc>
          <w:tcPr>
            <w:tcW w:w="0" w:type="auto"/>
          </w:tcPr>
          <w:p w14:paraId="1DC8CEE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Definition</w:t>
            </w:r>
          </w:p>
        </w:tc>
        <w:tc>
          <w:tcPr>
            <w:tcW w:w="0" w:type="auto"/>
          </w:tcPr>
          <w:p w14:paraId="3BB5894C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n</w:t>
            </w:r>
          </w:p>
        </w:tc>
        <w:tc>
          <w:tcPr>
            <w:tcW w:w="0" w:type="auto"/>
          </w:tcPr>
          <w:p w14:paraId="3E60F03E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Events, n (%)</w:t>
            </w:r>
          </w:p>
        </w:tc>
        <w:tc>
          <w:tcPr>
            <w:tcW w:w="0" w:type="auto"/>
          </w:tcPr>
          <w:p w14:paraId="27ED46E1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CRP ≥10 mg/L</w:t>
            </w:r>
            <w:r w:rsidRPr="0016380B">
              <w:rPr>
                <w:rFonts w:eastAsia="Times New Roman"/>
                <w:b/>
              </w:rPr>
              <w:br/>
              <w:t>aHR (95% CI), p</w:t>
            </w:r>
          </w:p>
        </w:tc>
        <w:tc>
          <w:tcPr>
            <w:tcW w:w="0" w:type="auto"/>
          </w:tcPr>
          <w:p w14:paraId="54C4DCBC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CRP continuous</w:t>
            </w:r>
            <w:r w:rsidRPr="0016380B">
              <w:rPr>
                <w:rFonts w:eastAsia="Times New Roman"/>
                <w:b/>
              </w:rPr>
              <w:br/>
              <w:t>(per 1 mg/L)</w:t>
            </w:r>
            <w:r w:rsidRPr="0016380B">
              <w:rPr>
                <w:rFonts w:eastAsia="Times New Roman"/>
                <w:b/>
              </w:rPr>
              <w:br/>
              <w:t>aHR (95% CI), p</w:t>
            </w:r>
          </w:p>
        </w:tc>
        <w:tc>
          <w:tcPr>
            <w:tcW w:w="0" w:type="auto"/>
          </w:tcPr>
          <w:p w14:paraId="1F54FE94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/>
              </w:rPr>
            </w:pPr>
            <w:r w:rsidRPr="0016380B">
              <w:rPr>
                <w:rFonts w:eastAsia="Times New Roman"/>
                <w:b/>
              </w:rPr>
              <w:t>C-index</w:t>
            </w:r>
          </w:p>
        </w:tc>
      </w:tr>
      <w:tr w:rsidR="0016380B" w:rsidRPr="0016380B" w14:paraId="08717481" w14:textId="77777777" w:rsidTr="0016380B">
        <w:trPr>
          <w:trHeight w:val="1518"/>
        </w:trPr>
        <w:tc>
          <w:tcPr>
            <w:tcW w:w="0" w:type="auto"/>
          </w:tcPr>
          <w:p w14:paraId="7F102B33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Sensitivity A</w:t>
            </w:r>
          </w:p>
        </w:tc>
        <w:tc>
          <w:tcPr>
            <w:tcW w:w="0" w:type="auto"/>
          </w:tcPr>
          <w:p w14:paraId="2A564FF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CRP &lt;30 mg/L, 7-day exclusion</w:t>
            </w:r>
          </w:p>
        </w:tc>
        <w:tc>
          <w:tcPr>
            <w:tcW w:w="0" w:type="auto"/>
          </w:tcPr>
          <w:p w14:paraId="4C45B9A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749</w:t>
            </w:r>
          </w:p>
        </w:tc>
        <w:tc>
          <w:tcPr>
            <w:tcW w:w="0" w:type="auto"/>
          </w:tcPr>
          <w:p w14:paraId="29F0F59F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548 (73.2%)</w:t>
            </w:r>
          </w:p>
        </w:tc>
        <w:tc>
          <w:tcPr>
            <w:tcW w:w="0" w:type="auto"/>
          </w:tcPr>
          <w:p w14:paraId="1C0B8B16" w14:textId="48A18768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1.37 (1.15–1.63), p&lt;0.001</w:t>
            </w:r>
          </w:p>
        </w:tc>
        <w:tc>
          <w:tcPr>
            <w:tcW w:w="0" w:type="auto"/>
          </w:tcPr>
          <w:p w14:paraId="01E398EC" w14:textId="77D46ACF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1.02 (1.01–1.04), p&lt;0.001</w:t>
            </w:r>
          </w:p>
        </w:tc>
        <w:tc>
          <w:tcPr>
            <w:tcW w:w="0" w:type="auto"/>
          </w:tcPr>
          <w:p w14:paraId="136E459E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0.644</w:t>
            </w:r>
          </w:p>
        </w:tc>
      </w:tr>
      <w:tr w:rsidR="0016380B" w:rsidRPr="0016380B" w14:paraId="04D82CC5" w14:textId="77777777" w:rsidTr="0016380B">
        <w:trPr>
          <w:trHeight w:val="1404"/>
        </w:trPr>
        <w:tc>
          <w:tcPr>
            <w:tcW w:w="0" w:type="auto"/>
          </w:tcPr>
          <w:p w14:paraId="038F2287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Study cohort</w:t>
            </w:r>
          </w:p>
        </w:tc>
        <w:tc>
          <w:tcPr>
            <w:tcW w:w="0" w:type="auto"/>
          </w:tcPr>
          <w:p w14:paraId="252C4839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CRP &lt;20 mg/L, 30-day exclusion</w:t>
            </w:r>
          </w:p>
        </w:tc>
        <w:tc>
          <w:tcPr>
            <w:tcW w:w="0" w:type="auto"/>
          </w:tcPr>
          <w:p w14:paraId="2EDB688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646</w:t>
            </w:r>
          </w:p>
        </w:tc>
        <w:tc>
          <w:tcPr>
            <w:tcW w:w="0" w:type="auto"/>
          </w:tcPr>
          <w:p w14:paraId="324506B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461 (71.4%)</w:t>
            </w:r>
          </w:p>
        </w:tc>
        <w:tc>
          <w:tcPr>
            <w:tcW w:w="0" w:type="auto"/>
          </w:tcPr>
          <w:p w14:paraId="1D204D64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1.26 (1.02–1.55), p=0.031</w:t>
            </w:r>
          </w:p>
        </w:tc>
        <w:tc>
          <w:tcPr>
            <w:tcW w:w="0" w:type="auto"/>
          </w:tcPr>
          <w:p w14:paraId="7B45A8C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1.03 (1.01–1.05), p=0.007</w:t>
            </w:r>
          </w:p>
        </w:tc>
        <w:tc>
          <w:tcPr>
            <w:tcW w:w="0" w:type="auto"/>
          </w:tcPr>
          <w:p w14:paraId="3A69B88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bCs/>
              </w:rPr>
            </w:pPr>
            <w:r w:rsidRPr="0016380B">
              <w:rPr>
                <w:rFonts w:eastAsia="Times New Roman"/>
                <w:bCs/>
              </w:rPr>
              <w:t>0.631</w:t>
            </w:r>
          </w:p>
        </w:tc>
      </w:tr>
      <w:tr w:rsidR="0016380B" w:rsidRPr="0016380B" w14:paraId="0781F734" w14:textId="77777777" w:rsidTr="0016380B">
        <w:trPr>
          <w:trHeight w:val="1418"/>
        </w:trPr>
        <w:tc>
          <w:tcPr>
            <w:tcW w:w="0" w:type="auto"/>
          </w:tcPr>
          <w:p w14:paraId="743A375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Sensitivity B</w:t>
            </w:r>
          </w:p>
        </w:tc>
        <w:tc>
          <w:tcPr>
            <w:tcW w:w="0" w:type="auto"/>
          </w:tcPr>
          <w:p w14:paraId="786AD4A8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CRP &lt;10 mg/L subset, 30-day exclusion</w:t>
            </w:r>
          </w:p>
        </w:tc>
        <w:tc>
          <w:tcPr>
            <w:tcW w:w="0" w:type="auto"/>
          </w:tcPr>
          <w:p w14:paraId="356D243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484</w:t>
            </w:r>
          </w:p>
        </w:tc>
        <w:tc>
          <w:tcPr>
            <w:tcW w:w="0" w:type="auto"/>
          </w:tcPr>
          <w:p w14:paraId="3712730C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337 (69.6%)</w:t>
            </w:r>
          </w:p>
        </w:tc>
        <w:tc>
          <w:tcPr>
            <w:tcW w:w="0" w:type="auto"/>
          </w:tcPr>
          <w:p w14:paraId="59D467E1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—</w:t>
            </w:r>
          </w:p>
        </w:tc>
        <w:tc>
          <w:tcPr>
            <w:tcW w:w="0" w:type="auto"/>
          </w:tcPr>
          <w:p w14:paraId="44A1F86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1.05 (0.99–1.10), p=0.078</w:t>
            </w:r>
          </w:p>
        </w:tc>
        <w:tc>
          <w:tcPr>
            <w:tcW w:w="0" w:type="auto"/>
          </w:tcPr>
          <w:p w14:paraId="14C292AF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0.618</w:t>
            </w:r>
          </w:p>
        </w:tc>
      </w:tr>
      <w:tr w:rsidR="0016380B" w:rsidRPr="0016380B" w14:paraId="7678E731" w14:textId="77777777" w:rsidTr="0016380B">
        <w:trPr>
          <w:trHeight w:val="2544"/>
        </w:trPr>
        <w:tc>
          <w:tcPr>
            <w:tcW w:w="0" w:type="auto"/>
          </w:tcPr>
          <w:p w14:paraId="1FF53F23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lastRenderedPageBreak/>
              <w:t>Sensitivity C</w:t>
            </w:r>
          </w:p>
        </w:tc>
        <w:tc>
          <w:tcPr>
            <w:tcW w:w="0" w:type="auto"/>
          </w:tcPr>
          <w:p w14:paraId="1E83F2D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1-year landmark analysis (from study cohort)</w:t>
            </w:r>
          </w:p>
        </w:tc>
        <w:tc>
          <w:tcPr>
            <w:tcW w:w="0" w:type="auto"/>
          </w:tcPr>
          <w:p w14:paraId="4708D74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475</w:t>
            </w:r>
          </w:p>
        </w:tc>
        <w:tc>
          <w:tcPr>
            <w:tcW w:w="0" w:type="auto"/>
          </w:tcPr>
          <w:p w14:paraId="3936EA0D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290 (61.1%)</w:t>
            </w:r>
          </w:p>
        </w:tc>
        <w:tc>
          <w:tcPr>
            <w:tcW w:w="0" w:type="auto"/>
          </w:tcPr>
          <w:p w14:paraId="0ABDBDDB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1.19 (0.91–1.56), p=0.204</w:t>
            </w:r>
          </w:p>
        </w:tc>
        <w:tc>
          <w:tcPr>
            <w:tcW w:w="0" w:type="auto"/>
          </w:tcPr>
          <w:p w14:paraId="2C2938D3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1.02 (0.99–1.05), p=0.127</w:t>
            </w:r>
          </w:p>
        </w:tc>
        <w:tc>
          <w:tcPr>
            <w:tcW w:w="0" w:type="auto"/>
          </w:tcPr>
          <w:p w14:paraId="4475CE52" w14:textId="77777777" w:rsidR="0016380B" w:rsidRPr="0016380B" w:rsidRDefault="0016380B" w:rsidP="008B77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eastAsia="Calibri" w:cs="Calibri"/>
                <w:color w:val="000000"/>
              </w:rPr>
            </w:pPr>
            <w:r w:rsidRPr="0016380B">
              <w:rPr>
                <w:rFonts w:eastAsia="Times New Roman"/>
                <w:color w:val="000000"/>
              </w:rPr>
              <w:t>0.594</w:t>
            </w:r>
          </w:p>
        </w:tc>
      </w:tr>
    </w:tbl>
    <w:p w14:paraId="174A46FA" w14:textId="77777777" w:rsidR="0016380B" w:rsidRPr="0016380B" w:rsidRDefault="0016380B">
      <w:pPr>
        <w:spacing w:line="480" w:lineRule="auto"/>
      </w:pPr>
    </w:p>
    <w:p w14:paraId="1791A82F" w14:textId="77777777" w:rsidR="0016380B" w:rsidRPr="0016380B" w:rsidRDefault="0016380B" w:rsidP="008B77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eastAsia="Calibri" w:cs="Calibri"/>
        </w:rPr>
      </w:pPr>
      <w:r w:rsidRPr="0016380B">
        <w:rPr>
          <w:rFonts w:eastAsia="Times New Roman"/>
        </w:rPr>
        <w:t>Abbreviations: aHR, adjusted hazard ratio; CI, confidence interval; CRP, C-reactive protein; CFS, Clinical Frailty Scale; MNA-SF, Mini Nutritional Assessment-Short Form.</w:t>
      </w:r>
    </w:p>
    <w:p w14:paraId="49EDD1DD" w14:textId="77777777" w:rsidR="0016380B" w:rsidRPr="0016380B" w:rsidRDefault="0016380B" w:rsidP="008B77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eastAsia="Calibri" w:cs="Calibri"/>
        </w:rPr>
      </w:pPr>
      <w:r w:rsidRPr="0016380B">
        <w:rPr>
          <w:rFonts w:eastAsia="Times New Roman"/>
        </w:rPr>
        <w:t xml:space="preserve">All models adjusted for age, sex, Clinical Frailty Scale (CFS), and Mini Nutritional Assessment-Short Form (MNA-SF). </w:t>
      </w:r>
    </w:p>
    <w:p w14:paraId="4398ED5E" w14:textId="77777777" w:rsidR="0016380B" w:rsidRPr="0016380B" w:rsidRDefault="0016380B" w:rsidP="008B77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eastAsia="Calibri" w:cs="Calibri"/>
        </w:rPr>
      </w:pPr>
      <w:r w:rsidRPr="0016380B">
        <w:rPr>
          <w:rFonts w:eastAsia="Times New Roman"/>
        </w:rPr>
        <w:t>Sensitivity A: broader cohort with less stringent CRP (&lt;30 mg/L) and early-death (7-day) exclusion criteria. Sensitivity B: restricted to patients with subclinical CRP levels (&lt;10 mg/L); binary CRP comparison not applicable (no variation). Sensitivity C: 1-year landmark analysis to assess the influence of reverse causation bias.</w:t>
      </w:r>
    </w:p>
    <w:p w14:paraId="5CD70012" w14:textId="77777777" w:rsidR="0016380B" w:rsidRPr="0016380B" w:rsidRDefault="0016380B" w:rsidP="0016380B">
      <w:pPr>
        <w:spacing w:line="480" w:lineRule="auto"/>
      </w:pPr>
    </w:p>
    <w:p w14:paraId="3F2A92F9" w14:textId="77777777" w:rsidR="002D6C95" w:rsidRPr="0016380B" w:rsidRDefault="002D6C95">
      <w:pPr>
        <w:spacing w:line="480" w:lineRule="auto"/>
      </w:pPr>
    </w:p>
    <w:sectPr w:rsidR="002D6C95" w:rsidRPr="0016380B" w:rsidSect="0016380B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E9203" w14:textId="77777777" w:rsidR="006038D1" w:rsidRDefault="006038D1">
      <w:r>
        <w:separator/>
      </w:r>
    </w:p>
  </w:endnote>
  <w:endnote w:type="continuationSeparator" w:id="0">
    <w:p w14:paraId="6D04D42F" w14:textId="77777777" w:rsidR="006038D1" w:rsidRDefault="0060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0B42" w14:textId="77777777" w:rsidR="003B49D6" w:rsidRDefault="003B49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CCC5" w14:textId="77777777" w:rsidR="006038D1" w:rsidRDefault="006038D1">
      <w:r>
        <w:separator/>
      </w:r>
    </w:p>
  </w:footnote>
  <w:footnote w:type="continuationSeparator" w:id="0">
    <w:p w14:paraId="1281CDEC" w14:textId="77777777" w:rsidR="006038D1" w:rsidRDefault="0060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40CAF" w14:textId="77777777" w:rsidR="003B49D6" w:rsidRDefault="003B49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B2"/>
    <w:rsid w:val="0016380B"/>
    <w:rsid w:val="00193843"/>
    <w:rsid w:val="002D6C95"/>
    <w:rsid w:val="003B49D6"/>
    <w:rsid w:val="004F2B42"/>
    <w:rsid w:val="004F4AB2"/>
    <w:rsid w:val="005518D2"/>
    <w:rsid w:val="006038D1"/>
    <w:rsid w:val="00756E58"/>
    <w:rsid w:val="008A7158"/>
    <w:rsid w:val="00A43D6B"/>
    <w:rsid w:val="00AA014F"/>
    <w:rsid w:val="00E051C2"/>
    <w:rsid w:val="00E451C0"/>
    <w:rsid w:val="00EA1997"/>
    <w:rsid w:val="00F1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DB06"/>
  <w15:chartTrackingRefBased/>
  <w15:docId w15:val="{C47C2EAA-A42C-4912-B113-D48242BE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80B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A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A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A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A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AB2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163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 TURHAN</dc:creator>
  <cp:keywords/>
  <dc:description/>
  <cp:lastModifiedBy>OKAN TURHAN</cp:lastModifiedBy>
  <cp:revision>4</cp:revision>
  <dcterms:created xsi:type="dcterms:W3CDTF">2026-07-01T20:57:00Z</dcterms:created>
  <dcterms:modified xsi:type="dcterms:W3CDTF">2026-07-02T11:20:00Z</dcterms:modified>
</cp:coreProperties>
</file>