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5"/>
        <w:gridCol w:w="6194"/>
        <w:gridCol w:w="2026"/>
      </w:tblGrid>
      <w:tr w:rsidR="00B948FE" w14:paraId="02A790D5" w14:textId="77777777" w:rsidTr="00447A03">
        <w:trPr>
          <w:trHeight w:val="116"/>
        </w:trPr>
        <w:tc>
          <w:tcPr>
            <w:tcW w:w="456" w:type="pct"/>
            <w:noWrap/>
          </w:tcPr>
          <w:p w14:paraId="7A30FD42" w14:textId="77777777" w:rsidR="00B948FE" w:rsidRPr="0006009F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06009F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Gene symbol</w:t>
            </w:r>
          </w:p>
        </w:tc>
        <w:tc>
          <w:tcPr>
            <w:tcW w:w="3423" w:type="pct"/>
            <w:noWrap/>
          </w:tcPr>
          <w:p w14:paraId="4470C709" w14:textId="77777777" w:rsidR="00B948FE" w:rsidRPr="0006009F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06009F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Full gene name</w:t>
            </w:r>
          </w:p>
        </w:tc>
        <w:tc>
          <w:tcPr>
            <w:tcW w:w="1120" w:type="pct"/>
          </w:tcPr>
          <w:p w14:paraId="35907A10" w14:textId="77777777" w:rsidR="00B948FE" w:rsidRPr="0006009F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06009F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ThermoFisher TaqMan ID</w:t>
            </w:r>
          </w:p>
        </w:tc>
      </w:tr>
      <w:tr w:rsidR="00B948FE" w14:paraId="21A88026" w14:textId="77777777" w:rsidTr="00447A03">
        <w:trPr>
          <w:trHeight w:val="116"/>
        </w:trPr>
        <w:tc>
          <w:tcPr>
            <w:tcW w:w="456" w:type="pct"/>
            <w:noWrap/>
            <w:hideMark/>
          </w:tcPr>
          <w:p w14:paraId="716BE6C2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  <w:t>Cdk5</w:t>
            </w:r>
          </w:p>
        </w:tc>
        <w:tc>
          <w:tcPr>
            <w:tcW w:w="3423" w:type="pct"/>
            <w:noWrap/>
            <w:hideMark/>
          </w:tcPr>
          <w:p w14:paraId="5380A733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Cyclin-dependent kinase 5</w:t>
            </w:r>
          </w:p>
        </w:tc>
        <w:tc>
          <w:tcPr>
            <w:tcW w:w="1120" w:type="pct"/>
          </w:tcPr>
          <w:p w14:paraId="099B30B7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Mm00432437_m1</w:t>
            </w:r>
          </w:p>
        </w:tc>
      </w:tr>
      <w:tr w:rsidR="00B948FE" w14:paraId="676BE5DC" w14:textId="77777777" w:rsidTr="00447A03">
        <w:trPr>
          <w:trHeight w:val="116"/>
        </w:trPr>
        <w:tc>
          <w:tcPr>
            <w:tcW w:w="456" w:type="pct"/>
            <w:noWrap/>
            <w:hideMark/>
          </w:tcPr>
          <w:p w14:paraId="5848F6F6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  <w:t>Crhr1</w:t>
            </w:r>
          </w:p>
        </w:tc>
        <w:tc>
          <w:tcPr>
            <w:tcW w:w="3423" w:type="pct"/>
            <w:noWrap/>
            <w:hideMark/>
          </w:tcPr>
          <w:p w14:paraId="02372E50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Corticotropin releasing hormone receptor 1</w:t>
            </w:r>
          </w:p>
        </w:tc>
        <w:tc>
          <w:tcPr>
            <w:tcW w:w="1120" w:type="pct"/>
          </w:tcPr>
          <w:p w14:paraId="19F8589B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Mm00432670_m1</w:t>
            </w:r>
          </w:p>
        </w:tc>
      </w:tr>
      <w:tr w:rsidR="00B948FE" w14:paraId="69A3CC6A" w14:textId="77777777" w:rsidTr="00447A03">
        <w:trPr>
          <w:trHeight w:val="116"/>
        </w:trPr>
        <w:tc>
          <w:tcPr>
            <w:tcW w:w="456" w:type="pct"/>
            <w:noWrap/>
            <w:hideMark/>
          </w:tcPr>
          <w:p w14:paraId="315E1891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  <w:t>Crhr2</w:t>
            </w:r>
          </w:p>
        </w:tc>
        <w:tc>
          <w:tcPr>
            <w:tcW w:w="3423" w:type="pct"/>
            <w:noWrap/>
            <w:hideMark/>
          </w:tcPr>
          <w:p w14:paraId="01E13EE2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Corticotropin releasing hormone receptor 2</w:t>
            </w:r>
          </w:p>
        </w:tc>
        <w:tc>
          <w:tcPr>
            <w:tcW w:w="1120" w:type="pct"/>
          </w:tcPr>
          <w:p w14:paraId="39360D2A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Mm00438308_m1</w:t>
            </w:r>
          </w:p>
        </w:tc>
      </w:tr>
      <w:tr w:rsidR="00B948FE" w14:paraId="4D565346" w14:textId="77777777" w:rsidTr="00447A03">
        <w:trPr>
          <w:trHeight w:val="116"/>
        </w:trPr>
        <w:tc>
          <w:tcPr>
            <w:tcW w:w="456" w:type="pct"/>
            <w:noWrap/>
            <w:hideMark/>
          </w:tcPr>
          <w:p w14:paraId="4BE5EC47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  <w:t>Crh</w:t>
            </w:r>
          </w:p>
        </w:tc>
        <w:tc>
          <w:tcPr>
            <w:tcW w:w="3423" w:type="pct"/>
            <w:noWrap/>
            <w:hideMark/>
          </w:tcPr>
          <w:p w14:paraId="4EA63D9A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Corticotropin releasing hormone</w:t>
            </w:r>
          </w:p>
        </w:tc>
        <w:tc>
          <w:tcPr>
            <w:tcW w:w="1120" w:type="pct"/>
          </w:tcPr>
          <w:p w14:paraId="5A9626AB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Mm04206019_m1</w:t>
            </w:r>
          </w:p>
        </w:tc>
      </w:tr>
      <w:tr w:rsidR="00B948FE" w14:paraId="6D581140" w14:textId="77777777" w:rsidTr="00447A03">
        <w:trPr>
          <w:trHeight w:val="116"/>
        </w:trPr>
        <w:tc>
          <w:tcPr>
            <w:tcW w:w="456" w:type="pct"/>
            <w:noWrap/>
            <w:hideMark/>
          </w:tcPr>
          <w:p w14:paraId="03C58684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  <w:t>Cnr1</w:t>
            </w:r>
          </w:p>
        </w:tc>
        <w:tc>
          <w:tcPr>
            <w:tcW w:w="3423" w:type="pct"/>
            <w:noWrap/>
            <w:hideMark/>
          </w:tcPr>
          <w:p w14:paraId="4BC62083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Cannabinoid receptor 1 (brain)</w:t>
            </w:r>
          </w:p>
        </w:tc>
        <w:tc>
          <w:tcPr>
            <w:tcW w:w="1120" w:type="pct"/>
          </w:tcPr>
          <w:p w14:paraId="0ADA2207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Mm01212171_s1</w:t>
            </w:r>
          </w:p>
        </w:tc>
      </w:tr>
      <w:tr w:rsidR="00B948FE" w14:paraId="799D8B7F" w14:textId="77777777" w:rsidTr="00447A03">
        <w:trPr>
          <w:trHeight w:val="116"/>
        </w:trPr>
        <w:tc>
          <w:tcPr>
            <w:tcW w:w="456" w:type="pct"/>
            <w:noWrap/>
            <w:hideMark/>
          </w:tcPr>
          <w:p w14:paraId="669AB29E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  <w:t>Cnr2</w:t>
            </w:r>
          </w:p>
        </w:tc>
        <w:tc>
          <w:tcPr>
            <w:tcW w:w="3423" w:type="pct"/>
            <w:noWrap/>
            <w:hideMark/>
          </w:tcPr>
          <w:p w14:paraId="57C346AA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Cannabinoid receptor 2 (macrophage)</w:t>
            </w:r>
          </w:p>
        </w:tc>
        <w:tc>
          <w:tcPr>
            <w:tcW w:w="1120" w:type="pct"/>
          </w:tcPr>
          <w:p w14:paraId="797ADDD7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Mm00438286_m1</w:t>
            </w:r>
          </w:p>
        </w:tc>
      </w:tr>
      <w:tr w:rsidR="00B948FE" w14:paraId="7956CD78" w14:textId="77777777" w:rsidTr="00447A03">
        <w:trPr>
          <w:trHeight w:val="116"/>
        </w:trPr>
        <w:tc>
          <w:tcPr>
            <w:tcW w:w="456" w:type="pct"/>
            <w:noWrap/>
            <w:hideMark/>
          </w:tcPr>
          <w:p w14:paraId="2BFD73DC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  <w:t>Faah</w:t>
            </w:r>
          </w:p>
        </w:tc>
        <w:tc>
          <w:tcPr>
            <w:tcW w:w="3423" w:type="pct"/>
            <w:noWrap/>
            <w:hideMark/>
          </w:tcPr>
          <w:p w14:paraId="355287FA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Fatty acid amide hydrolase</w:t>
            </w:r>
          </w:p>
        </w:tc>
        <w:tc>
          <w:tcPr>
            <w:tcW w:w="1120" w:type="pct"/>
          </w:tcPr>
          <w:p w14:paraId="3A375F7B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Mm00515684_m1</w:t>
            </w:r>
          </w:p>
        </w:tc>
      </w:tr>
      <w:tr w:rsidR="00B948FE" w:rsidRPr="00295FB5" w14:paraId="0C2940B2" w14:textId="77777777" w:rsidTr="00447A03">
        <w:trPr>
          <w:trHeight w:val="116"/>
        </w:trPr>
        <w:tc>
          <w:tcPr>
            <w:tcW w:w="456" w:type="pct"/>
            <w:noWrap/>
            <w:hideMark/>
          </w:tcPr>
          <w:p w14:paraId="121561FE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  <w:t>Trpv1</w:t>
            </w:r>
          </w:p>
        </w:tc>
        <w:tc>
          <w:tcPr>
            <w:tcW w:w="3423" w:type="pct"/>
            <w:noWrap/>
            <w:hideMark/>
          </w:tcPr>
          <w:p w14:paraId="595D083E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val="en-GB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val="en-GB" w:eastAsia="es-ES"/>
              </w:rPr>
              <w:t>Transient receptor potential cation channel; subfamily V; member 1</w:t>
            </w:r>
          </w:p>
        </w:tc>
        <w:tc>
          <w:tcPr>
            <w:tcW w:w="1120" w:type="pct"/>
          </w:tcPr>
          <w:p w14:paraId="61120A7D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val="en-GB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Mm01246300_m1</w:t>
            </w:r>
          </w:p>
        </w:tc>
      </w:tr>
      <w:tr w:rsidR="00B948FE" w14:paraId="6E5F2A70" w14:textId="77777777" w:rsidTr="00447A03">
        <w:trPr>
          <w:trHeight w:val="116"/>
        </w:trPr>
        <w:tc>
          <w:tcPr>
            <w:tcW w:w="456" w:type="pct"/>
            <w:noWrap/>
            <w:hideMark/>
          </w:tcPr>
          <w:p w14:paraId="25A393A1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  <w:t>Dagla</w:t>
            </w:r>
          </w:p>
        </w:tc>
        <w:tc>
          <w:tcPr>
            <w:tcW w:w="3423" w:type="pct"/>
            <w:noWrap/>
            <w:hideMark/>
          </w:tcPr>
          <w:p w14:paraId="0F634C5A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Diacylglycerol lipase; alpha</w:t>
            </w:r>
          </w:p>
        </w:tc>
        <w:tc>
          <w:tcPr>
            <w:tcW w:w="1120" w:type="pct"/>
          </w:tcPr>
          <w:p w14:paraId="6F74C965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Mm00813830_m1</w:t>
            </w:r>
          </w:p>
        </w:tc>
      </w:tr>
      <w:tr w:rsidR="00B948FE" w14:paraId="3F20584B" w14:textId="77777777" w:rsidTr="00447A03">
        <w:trPr>
          <w:trHeight w:val="116"/>
        </w:trPr>
        <w:tc>
          <w:tcPr>
            <w:tcW w:w="456" w:type="pct"/>
            <w:noWrap/>
            <w:hideMark/>
          </w:tcPr>
          <w:p w14:paraId="53EC098A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  <w:t>Mgll</w:t>
            </w:r>
          </w:p>
        </w:tc>
        <w:tc>
          <w:tcPr>
            <w:tcW w:w="3423" w:type="pct"/>
            <w:noWrap/>
            <w:hideMark/>
          </w:tcPr>
          <w:p w14:paraId="2136E0E8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Monoglyceride lipase</w:t>
            </w:r>
          </w:p>
        </w:tc>
        <w:tc>
          <w:tcPr>
            <w:tcW w:w="1120" w:type="pct"/>
          </w:tcPr>
          <w:p w14:paraId="515EDBBA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Mm00449274_m1</w:t>
            </w:r>
          </w:p>
        </w:tc>
      </w:tr>
      <w:tr w:rsidR="00B948FE" w:rsidRPr="00295FB5" w14:paraId="3DA405A6" w14:textId="77777777" w:rsidTr="00447A03">
        <w:trPr>
          <w:trHeight w:val="116"/>
        </w:trPr>
        <w:tc>
          <w:tcPr>
            <w:tcW w:w="456" w:type="pct"/>
            <w:noWrap/>
            <w:hideMark/>
          </w:tcPr>
          <w:p w14:paraId="56E81A66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  <w:t>Napepld</w:t>
            </w:r>
          </w:p>
        </w:tc>
        <w:tc>
          <w:tcPr>
            <w:tcW w:w="3423" w:type="pct"/>
            <w:noWrap/>
            <w:hideMark/>
          </w:tcPr>
          <w:p w14:paraId="21499D23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val="en-GB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val="en-GB" w:eastAsia="es-ES"/>
              </w:rPr>
              <w:t>N-acyl phosphatidylethanolamine phospholipase D</w:t>
            </w:r>
          </w:p>
        </w:tc>
        <w:tc>
          <w:tcPr>
            <w:tcW w:w="1120" w:type="pct"/>
          </w:tcPr>
          <w:p w14:paraId="201E18A4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val="en-GB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Mm00724596_m1</w:t>
            </w:r>
          </w:p>
        </w:tc>
      </w:tr>
      <w:tr w:rsidR="00B948FE" w14:paraId="6EE03399" w14:textId="77777777" w:rsidTr="00447A03">
        <w:trPr>
          <w:trHeight w:val="116"/>
        </w:trPr>
        <w:tc>
          <w:tcPr>
            <w:tcW w:w="456" w:type="pct"/>
            <w:noWrap/>
            <w:hideMark/>
          </w:tcPr>
          <w:p w14:paraId="58798260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  <w:t>Drd1</w:t>
            </w:r>
          </w:p>
        </w:tc>
        <w:tc>
          <w:tcPr>
            <w:tcW w:w="3423" w:type="pct"/>
            <w:noWrap/>
            <w:hideMark/>
          </w:tcPr>
          <w:p w14:paraId="488B8B3F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Dopamine receptor D1</w:t>
            </w:r>
          </w:p>
        </w:tc>
        <w:tc>
          <w:tcPr>
            <w:tcW w:w="1120" w:type="pct"/>
          </w:tcPr>
          <w:p w14:paraId="2C69B8B8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Mm01353211_m1</w:t>
            </w:r>
          </w:p>
        </w:tc>
      </w:tr>
      <w:tr w:rsidR="00B948FE" w14:paraId="2BBBCE39" w14:textId="77777777" w:rsidTr="00447A03">
        <w:trPr>
          <w:trHeight w:val="116"/>
        </w:trPr>
        <w:tc>
          <w:tcPr>
            <w:tcW w:w="456" w:type="pct"/>
            <w:noWrap/>
            <w:hideMark/>
          </w:tcPr>
          <w:p w14:paraId="2A285CBC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  <w:t>Drd2</w:t>
            </w:r>
          </w:p>
        </w:tc>
        <w:tc>
          <w:tcPr>
            <w:tcW w:w="3423" w:type="pct"/>
            <w:noWrap/>
            <w:hideMark/>
          </w:tcPr>
          <w:p w14:paraId="697A5E5A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Dopamine receptor D2</w:t>
            </w:r>
          </w:p>
        </w:tc>
        <w:tc>
          <w:tcPr>
            <w:tcW w:w="1120" w:type="pct"/>
          </w:tcPr>
          <w:p w14:paraId="16829C88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Mm00438545_m1</w:t>
            </w:r>
          </w:p>
        </w:tc>
      </w:tr>
      <w:tr w:rsidR="00B948FE" w14:paraId="384D74E3" w14:textId="77777777" w:rsidTr="00447A03">
        <w:trPr>
          <w:trHeight w:val="116"/>
        </w:trPr>
        <w:tc>
          <w:tcPr>
            <w:tcW w:w="456" w:type="pct"/>
            <w:noWrap/>
            <w:hideMark/>
          </w:tcPr>
          <w:p w14:paraId="5EE318C0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  <w:t>Th</w:t>
            </w:r>
          </w:p>
        </w:tc>
        <w:tc>
          <w:tcPr>
            <w:tcW w:w="3423" w:type="pct"/>
            <w:noWrap/>
            <w:hideMark/>
          </w:tcPr>
          <w:p w14:paraId="493978DB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Tyrosine hydroxylase</w:t>
            </w:r>
          </w:p>
        </w:tc>
        <w:tc>
          <w:tcPr>
            <w:tcW w:w="1120" w:type="pct"/>
          </w:tcPr>
          <w:p w14:paraId="3CDE541B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Mm00447557_m1</w:t>
            </w:r>
          </w:p>
        </w:tc>
      </w:tr>
      <w:tr w:rsidR="00B948FE" w14:paraId="37078A92" w14:textId="77777777" w:rsidTr="00447A03">
        <w:trPr>
          <w:trHeight w:val="116"/>
        </w:trPr>
        <w:tc>
          <w:tcPr>
            <w:tcW w:w="456" w:type="pct"/>
            <w:noWrap/>
            <w:hideMark/>
          </w:tcPr>
          <w:p w14:paraId="0E8A0395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  <w:t>Maob</w:t>
            </w:r>
          </w:p>
        </w:tc>
        <w:tc>
          <w:tcPr>
            <w:tcW w:w="3423" w:type="pct"/>
            <w:noWrap/>
            <w:hideMark/>
          </w:tcPr>
          <w:p w14:paraId="5FB819CF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Monoamine oxidase B</w:t>
            </w:r>
          </w:p>
        </w:tc>
        <w:tc>
          <w:tcPr>
            <w:tcW w:w="1120" w:type="pct"/>
          </w:tcPr>
          <w:p w14:paraId="34C2FA42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Mm00555412_m1</w:t>
            </w:r>
          </w:p>
        </w:tc>
      </w:tr>
      <w:tr w:rsidR="00B948FE" w14:paraId="4302EB7F" w14:textId="77777777" w:rsidTr="00447A03">
        <w:trPr>
          <w:trHeight w:val="116"/>
        </w:trPr>
        <w:tc>
          <w:tcPr>
            <w:tcW w:w="456" w:type="pct"/>
            <w:noWrap/>
            <w:hideMark/>
          </w:tcPr>
          <w:p w14:paraId="375BDFA7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  <w:t>Maoa</w:t>
            </w:r>
          </w:p>
        </w:tc>
        <w:tc>
          <w:tcPr>
            <w:tcW w:w="3423" w:type="pct"/>
            <w:noWrap/>
            <w:hideMark/>
          </w:tcPr>
          <w:p w14:paraId="5A9FD0A0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Monoamine oxidase A</w:t>
            </w:r>
          </w:p>
        </w:tc>
        <w:tc>
          <w:tcPr>
            <w:tcW w:w="1120" w:type="pct"/>
          </w:tcPr>
          <w:p w14:paraId="4013647D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Mm00558004_m1</w:t>
            </w:r>
          </w:p>
        </w:tc>
      </w:tr>
      <w:tr w:rsidR="00B948FE" w:rsidRPr="00295FB5" w14:paraId="1066B905" w14:textId="77777777" w:rsidTr="00447A03">
        <w:trPr>
          <w:trHeight w:val="116"/>
        </w:trPr>
        <w:tc>
          <w:tcPr>
            <w:tcW w:w="456" w:type="pct"/>
            <w:noWrap/>
            <w:hideMark/>
          </w:tcPr>
          <w:p w14:paraId="62114A0A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  <w:t>Ppp1r1b</w:t>
            </w:r>
          </w:p>
        </w:tc>
        <w:tc>
          <w:tcPr>
            <w:tcW w:w="3423" w:type="pct"/>
            <w:noWrap/>
            <w:hideMark/>
          </w:tcPr>
          <w:p w14:paraId="4C5258D8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val="en-GB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val="en-GB" w:eastAsia="es-ES"/>
              </w:rPr>
              <w:t>Protein phosphatase 1; regulatory (inhibitor) subunit 1B</w:t>
            </w:r>
          </w:p>
        </w:tc>
        <w:tc>
          <w:tcPr>
            <w:tcW w:w="1120" w:type="pct"/>
          </w:tcPr>
          <w:p w14:paraId="0E272FF0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val="en-GB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Mm00454892_m1</w:t>
            </w:r>
          </w:p>
        </w:tc>
      </w:tr>
      <w:tr w:rsidR="00B948FE" w:rsidRPr="00295FB5" w14:paraId="39D0639C" w14:textId="77777777" w:rsidTr="00447A03">
        <w:trPr>
          <w:trHeight w:val="116"/>
        </w:trPr>
        <w:tc>
          <w:tcPr>
            <w:tcW w:w="456" w:type="pct"/>
            <w:noWrap/>
            <w:hideMark/>
          </w:tcPr>
          <w:p w14:paraId="4FD4BC72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  <w:t>Slc6a3</w:t>
            </w:r>
          </w:p>
        </w:tc>
        <w:tc>
          <w:tcPr>
            <w:tcW w:w="3423" w:type="pct"/>
            <w:noWrap/>
            <w:hideMark/>
          </w:tcPr>
          <w:p w14:paraId="2F4E5421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val="en-GB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val="en-GB" w:eastAsia="es-ES"/>
              </w:rPr>
              <w:t>Solute carrier family 6 (neurotransmitter transporter; dopamine); member 3</w:t>
            </w:r>
          </w:p>
        </w:tc>
        <w:tc>
          <w:tcPr>
            <w:tcW w:w="1120" w:type="pct"/>
          </w:tcPr>
          <w:p w14:paraId="6AFE5359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val="en-GB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Mm00438388_m1</w:t>
            </w:r>
          </w:p>
        </w:tc>
      </w:tr>
      <w:tr w:rsidR="00B948FE" w14:paraId="11962527" w14:textId="77777777" w:rsidTr="00447A03">
        <w:trPr>
          <w:trHeight w:val="116"/>
        </w:trPr>
        <w:tc>
          <w:tcPr>
            <w:tcW w:w="456" w:type="pct"/>
            <w:noWrap/>
            <w:hideMark/>
          </w:tcPr>
          <w:p w14:paraId="0A8A2F44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  <w:t>Ppara</w:t>
            </w:r>
          </w:p>
        </w:tc>
        <w:tc>
          <w:tcPr>
            <w:tcW w:w="3423" w:type="pct"/>
            <w:noWrap/>
            <w:hideMark/>
          </w:tcPr>
          <w:p w14:paraId="72440424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Peroxisome proliferator activated receptor alpha</w:t>
            </w:r>
          </w:p>
        </w:tc>
        <w:tc>
          <w:tcPr>
            <w:tcW w:w="1120" w:type="pct"/>
          </w:tcPr>
          <w:p w14:paraId="365FBB03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Mm00440939_m1</w:t>
            </w:r>
          </w:p>
        </w:tc>
      </w:tr>
      <w:tr w:rsidR="00B948FE" w14:paraId="53D83DD4" w14:textId="77777777" w:rsidTr="00447A03">
        <w:trPr>
          <w:trHeight w:val="116"/>
        </w:trPr>
        <w:tc>
          <w:tcPr>
            <w:tcW w:w="456" w:type="pct"/>
            <w:noWrap/>
            <w:hideMark/>
          </w:tcPr>
          <w:p w14:paraId="481C1273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  <w:t>Ppard</w:t>
            </w:r>
          </w:p>
        </w:tc>
        <w:tc>
          <w:tcPr>
            <w:tcW w:w="3423" w:type="pct"/>
            <w:noWrap/>
            <w:hideMark/>
          </w:tcPr>
          <w:p w14:paraId="77FC91FA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Peroxisome proliferator activator receptor delta</w:t>
            </w:r>
          </w:p>
        </w:tc>
        <w:tc>
          <w:tcPr>
            <w:tcW w:w="1120" w:type="pct"/>
          </w:tcPr>
          <w:p w14:paraId="2F79199C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Mm00803184_m1</w:t>
            </w:r>
          </w:p>
        </w:tc>
      </w:tr>
      <w:tr w:rsidR="00B948FE" w14:paraId="79846290" w14:textId="77777777" w:rsidTr="00447A03">
        <w:trPr>
          <w:trHeight w:val="116"/>
        </w:trPr>
        <w:tc>
          <w:tcPr>
            <w:tcW w:w="456" w:type="pct"/>
            <w:noWrap/>
            <w:hideMark/>
          </w:tcPr>
          <w:p w14:paraId="29C8C4C9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  <w:t>Pparg</w:t>
            </w:r>
          </w:p>
        </w:tc>
        <w:tc>
          <w:tcPr>
            <w:tcW w:w="3423" w:type="pct"/>
            <w:noWrap/>
            <w:hideMark/>
          </w:tcPr>
          <w:p w14:paraId="16321389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Peroxisome proliferator activated receptor gamma</w:t>
            </w:r>
          </w:p>
        </w:tc>
        <w:tc>
          <w:tcPr>
            <w:tcW w:w="1120" w:type="pct"/>
          </w:tcPr>
          <w:p w14:paraId="1A24314F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Mm00440945_m1</w:t>
            </w:r>
          </w:p>
        </w:tc>
      </w:tr>
      <w:tr w:rsidR="00B948FE" w14:paraId="149F494F" w14:textId="77777777" w:rsidTr="00447A03">
        <w:trPr>
          <w:trHeight w:val="116"/>
        </w:trPr>
        <w:tc>
          <w:tcPr>
            <w:tcW w:w="456" w:type="pct"/>
            <w:noWrap/>
            <w:hideMark/>
          </w:tcPr>
          <w:p w14:paraId="66C6175C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N</w:t>
            </w:r>
            <w:r w:rsidRPr="001C2B05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r2b1</w:t>
            </w:r>
          </w:p>
        </w:tc>
        <w:tc>
          <w:tcPr>
            <w:tcW w:w="3423" w:type="pct"/>
            <w:noWrap/>
            <w:hideMark/>
          </w:tcPr>
          <w:p w14:paraId="587B17BC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R</w:t>
            </w:r>
            <w:r w:rsidRPr="00A731C6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 xml:space="preserve">etinoid X receptor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Alpha (</w:t>
            </w:r>
            <w:r w:rsidRPr="00CC32C8"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Rxra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)</w:t>
            </w:r>
          </w:p>
        </w:tc>
        <w:tc>
          <w:tcPr>
            <w:tcW w:w="1120" w:type="pct"/>
          </w:tcPr>
          <w:p w14:paraId="054A760B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Mm00441185_m1</w:t>
            </w:r>
          </w:p>
        </w:tc>
      </w:tr>
      <w:tr w:rsidR="00B948FE" w:rsidRPr="00295FB5" w14:paraId="32CA814E" w14:textId="77777777" w:rsidTr="00447A03">
        <w:trPr>
          <w:trHeight w:val="116"/>
        </w:trPr>
        <w:tc>
          <w:tcPr>
            <w:tcW w:w="456" w:type="pct"/>
            <w:noWrap/>
            <w:hideMark/>
          </w:tcPr>
          <w:p w14:paraId="3DCC0FDA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  <w:t>Pla2g4a</w:t>
            </w:r>
          </w:p>
        </w:tc>
        <w:tc>
          <w:tcPr>
            <w:tcW w:w="3423" w:type="pct"/>
            <w:noWrap/>
            <w:hideMark/>
          </w:tcPr>
          <w:p w14:paraId="5888E1DB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val="en-GB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val="en-GB" w:eastAsia="es-ES"/>
              </w:rPr>
              <w:t>Phospholipase A2; group IVA (cytosolic; calcium-dependent)</w:t>
            </w:r>
          </w:p>
        </w:tc>
        <w:tc>
          <w:tcPr>
            <w:tcW w:w="1120" w:type="pct"/>
          </w:tcPr>
          <w:p w14:paraId="164D693A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val="en-GB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Mm00447040_m1</w:t>
            </w:r>
          </w:p>
        </w:tc>
      </w:tr>
      <w:tr w:rsidR="00B948FE" w14:paraId="53696368" w14:textId="77777777" w:rsidTr="00447A03">
        <w:trPr>
          <w:trHeight w:val="116"/>
        </w:trPr>
        <w:tc>
          <w:tcPr>
            <w:tcW w:w="456" w:type="pct"/>
            <w:noWrap/>
            <w:hideMark/>
          </w:tcPr>
          <w:p w14:paraId="1DCF5FC2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  <w:t>Ptgs2</w:t>
            </w:r>
          </w:p>
        </w:tc>
        <w:tc>
          <w:tcPr>
            <w:tcW w:w="3423" w:type="pct"/>
            <w:noWrap/>
            <w:hideMark/>
          </w:tcPr>
          <w:p w14:paraId="379967D3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Prostaglandin-endoperoxide synthase 2</w:t>
            </w:r>
          </w:p>
        </w:tc>
        <w:tc>
          <w:tcPr>
            <w:tcW w:w="1120" w:type="pct"/>
          </w:tcPr>
          <w:p w14:paraId="1330D509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Mm00478374_m1</w:t>
            </w:r>
          </w:p>
        </w:tc>
      </w:tr>
      <w:tr w:rsidR="00B948FE" w:rsidRPr="00295FB5" w14:paraId="113AA7B7" w14:textId="77777777" w:rsidTr="00447A03">
        <w:trPr>
          <w:trHeight w:val="116"/>
        </w:trPr>
        <w:tc>
          <w:tcPr>
            <w:tcW w:w="456" w:type="pct"/>
            <w:noWrap/>
            <w:hideMark/>
          </w:tcPr>
          <w:p w14:paraId="0D175BE9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  <w:t>Slc17a6</w:t>
            </w:r>
          </w:p>
        </w:tc>
        <w:tc>
          <w:tcPr>
            <w:tcW w:w="3423" w:type="pct"/>
            <w:noWrap/>
            <w:hideMark/>
          </w:tcPr>
          <w:p w14:paraId="542DA5ED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val="en-GB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val="en-GB" w:eastAsia="es-ES"/>
              </w:rPr>
              <w:t>Solute carrier family 17 (sodium-dependent inorganic phosphate cotransporter); member 6</w:t>
            </w:r>
          </w:p>
        </w:tc>
        <w:tc>
          <w:tcPr>
            <w:tcW w:w="1120" w:type="pct"/>
          </w:tcPr>
          <w:p w14:paraId="76435C59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val="en-GB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Mm00499876_m1</w:t>
            </w:r>
          </w:p>
        </w:tc>
      </w:tr>
      <w:tr w:rsidR="00B948FE" w:rsidRPr="00295FB5" w14:paraId="019161A7" w14:textId="77777777" w:rsidTr="00447A03">
        <w:trPr>
          <w:trHeight w:val="116"/>
        </w:trPr>
        <w:tc>
          <w:tcPr>
            <w:tcW w:w="456" w:type="pct"/>
            <w:noWrap/>
            <w:hideMark/>
          </w:tcPr>
          <w:p w14:paraId="1240C1D1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  <w:t>Slc1a2</w:t>
            </w:r>
          </w:p>
        </w:tc>
        <w:tc>
          <w:tcPr>
            <w:tcW w:w="3423" w:type="pct"/>
            <w:noWrap/>
            <w:hideMark/>
          </w:tcPr>
          <w:p w14:paraId="59583A74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val="en-GB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val="en-GB" w:eastAsia="es-ES"/>
              </w:rPr>
              <w:t>Solute carrier family 1 (glial high affinity glutamate transporter); member 2</w:t>
            </w:r>
          </w:p>
        </w:tc>
        <w:tc>
          <w:tcPr>
            <w:tcW w:w="1120" w:type="pct"/>
          </w:tcPr>
          <w:p w14:paraId="28C75194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val="en-GB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Mm01275814_m1</w:t>
            </w:r>
          </w:p>
        </w:tc>
      </w:tr>
      <w:tr w:rsidR="00B948FE" w:rsidRPr="00295FB5" w14:paraId="4BA1D219" w14:textId="77777777" w:rsidTr="00447A03">
        <w:trPr>
          <w:trHeight w:val="116"/>
        </w:trPr>
        <w:tc>
          <w:tcPr>
            <w:tcW w:w="456" w:type="pct"/>
            <w:noWrap/>
            <w:hideMark/>
          </w:tcPr>
          <w:p w14:paraId="415BF0B3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  <w:t>Slc17a8</w:t>
            </w:r>
          </w:p>
        </w:tc>
        <w:tc>
          <w:tcPr>
            <w:tcW w:w="3423" w:type="pct"/>
            <w:noWrap/>
            <w:hideMark/>
          </w:tcPr>
          <w:p w14:paraId="7F2DE33C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val="en-GB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val="en-GB" w:eastAsia="es-ES"/>
              </w:rPr>
              <w:t>Solute carrier family 17 (sodium-dependent inorganic phosphate cotransporter); member 8</w:t>
            </w:r>
          </w:p>
        </w:tc>
        <w:tc>
          <w:tcPr>
            <w:tcW w:w="1120" w:type="pct"/>
          </w:tcPr>
          <w:p w14:paraId="1E7362CB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val="en-GB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Mm00805413_m1</w:t>
            </w:r>
          </w:p>
        </w:tc>
      </w:tr>
      <w:tr w:rsidR="00B948FE" w14:paraId="2519C3BE" w14:textId="77777777" w:rsidTr="00447A03">
        <w:trPr>
          <w:trHeight w:val="116"/>
        </w:trPr>
        <w:tc>
          <w:tcPr>
            <w:tcW w:w="456" w:type="pct"/>
            <w:noWrap/>
            <w:hideMark/>
          </w:tcPr>
          <w:p w14:paraId="1A05E672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  <w:t>Gria1</w:t>
            </w:r>
          </w:p>
        </w:tc>
        <w:tc>
          <w:tcPr>
            <w:tcW w:w="3423" w:type="pct"/>
            <w:noWrap/>
            <w:hideMark/>
          </w:tcPr>
          <w:p w14:paraId="6F666353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Glutamate receptor; ionotropic; AMPA1 (alpha 1)</w:t>
            </w:r>
          </w:p>
        </w:tc>
        <w:tc>
          <w:tcPr>
            <w:tcW w:w="1120" w:type="pct"/>
          </w:tcPr>
          <w:p w14:paraId="45FD6508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Mm00433752_m1</w:t>
            </w:r>
          </w:p>
        </w:tc>
      </w:tr>
      <w:tr w:rsidR="00B948FE" w14:paraId="57535E26" w14:textId="77777777" w:rsidTr="00447A03">
        <w:trPr>
          <w:trHeight w:val="116"/>
        </w:trPr>
        <w:tc>
          <w:tcPr>
            <w:tcW w:w="456" w:type="pct"/>
            <w:noWrap/>
            <w:hideMark/>
          </w:tcPr>
          <w:p w14:paraId="68770FB6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  <w:t>Gria2</w:t>
            </w:r>
          </w:p>
        </w:tc>
        <w:tc>
          <w:tcPr>
            <w:tcW w:w="3423" w:type="pct"/>
            <w:noWrap/>
            <w:hideMark/>
          </w:tcPr>
          <w:p w14:paraId="3AA2A218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Glutamate receptor; ionotropic; AMPA2 (alpha 2)</w:t>
            </w:r>
          </w:p>
        </w:tc>
        <w:tc>
          <w:tcPr>
            <w:tcW w:w="1120" w:type="pct"/>
          </w:tcPr>
          <w:p w14:paraId="0C31388E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Mm00442822_m1</w:t>
            </w:r>
          </w:p>
        </w:tc>
      </w:tr>
      <w:tr w:rsidR="00B948FE" w14:paraId="30C3115F" w14:textId="77777777" w:rsidTr="00447A03">
        <w:trPr>
          <w:trHeight w:val="116"/>
        </w:trPr>
        <w:tc>
          <w:tcPr>
            <w:tcW w:w="456" w:type="pct"/>
            <w:noWrap/>
            <w:hideMark/>
          </w:tcPr>
          <w:p w14:paraId="344FCB58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  <w:t>Gria3</w:t>
            </w:r>
          </w:p>
        </w:tc>
        <w:tc>
          <w:tcPr>
            <w:tcW w:w="3423" w:type="pct"/>
            <w:noWrap/>
            <w:hideMark/>
          </w:tcPr>
          <w:p w14:paraId="7438CC40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Glutamate receptor; ionotropic; AMPA3 (alpha 3)</w:t>
            </w:r>
          </w:p>
        </w:tc>
        <w:tc>
          <w:tcPr>
            <w:tcW w:w="1120" w:type="pct"/>
          </w:tcPr>
          <w:p w14:paraId="4200B8EC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Mm01322419_m1</w:t>
            </w:r>
          </w:p>
        </w:tc>
      </w:tr>
      <w:tr w:rsidR="00B948FE" w14:paraId="0DCC5B92" w14:textId="77777777" w:rsidTr="00447A03">
        <w:trPr>
          <w:trHeight w:val="116"/>
        </w:trPr>
        <w:tc>
          <w:tcPr>
            <w:tcW w:w="456" w:type="pct"/>
            <w:noWrap/>
            <w:hideMark/>
          </w:tcPr>
          <w:p w14:paraId="467E48F8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  <w:t>Grin1</w:t>
            </w:r>
          </w:p>
        </w:tc>
        <w:tc>
          <w:tcPr>
            <w:tcW w:w="3423" w:type="pct"/>
            <w:noWrap/>
            <w:hideMark/>
          </w:tcPr>
          <w:p w14:paraId="75C23BAA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Glutamate receptor; ionotropic; NMDA1 (zeta 1)</w:t>
            </w:r>
          </w:p>
        </w:tc>
        <w:tc>
          <w:tcPr>
            <w:tcW w:w="1120" w:type="pct"/>
          </w:tcPr>
          <w:p w14:paraId="3777E657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Mm00433790_m1</w:t>
            </w:r>
          </w:p>
        </w:tc>
      </w:tr>
      <w:tr w:rsidR="00B948FE" w14:paraId="2DAF02E5" w14:textId="77777777" w:rsidTr="00447A03">
        <w:trPr>
          <w:trHeight w:val="116"/>
        </w:trPr>
        <w:tc>
          <w:tcPr>
            <w:tcW w:w="456" w:type="pct"/>
            <w:noWrap/>
            <w:hideMark/>
          </w:tcPr>
          <w:p w14:paraId="73E199D9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  <w:t>Grin2a</w:t>
            </w:r>
          </w:p>
        </w:tc>
        <w:tc>
          <w:tcPr>
            <w:tcW w:w="3423" w:type="pct"/>
            <w:noWrap/>
            <w:hideMark/>
          </w:tcPr>
          <w:p w14:paraId="30D8014F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Glutamate receptor; ionotropic; NMDA2A (epsilon 1)</w:t>
            </w:r>
          </w:p>
        </w:tc>
        <w:tc>
          <w:tcPr>
            <w:tcW w:w="1120" w:type="pct"/>
          </w:tcPr>
          <w:p w14:paraId="69B707B1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Mm00433802_m1</w:t>
            </w:r>
          </w:p>
        </w:tc>
      </w:tr>
      <w:tr w:rsidR="00B948FE" w14:paraId="5868730F" w14:textId="77777777" w:rsidTr="00447A03">
        <w:trPr>
          <w:trHeight w:val="116"/>
        </w:trPr>
        <w:tc>
          <w:tcPr>
            <w:tcW w:w="456" w:type="pct"/>
            <w:noWrap/>
            <w:hideMark/>
          </w:tcPr>
          <w:p w14:paraId="2E0ECCC1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  <w:t>Grin2b</w:t>
            </w:r>
          </w:p>
        </w:tc>
        <w:tc>
          <w:tcPr>
            <w:tcW w:w="3423" w:type="pct"/>
            <w:noWrap/>
            <w:hideMark/>
          </w:tcPr>
          <w:p w14:paraId="08D1DF7C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Glutamate receptor; ionotropic; NMDA2B (epsilon 2)</w:t>
            </w:r>
          </w:p>
        </w:tc>
        <w:tc>
          <w:tcPr>
            <w:tcW w:w="1120" w:type="pct"/>
          </w:tcPr>
          <w:p w14:paraId="76774394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Mm00433820_m1</w:t>
            </w:r>
          </w:p>
        </w:tc>
      </w:tr>
      <w:tr w:rsidR="00B948FE" w14:paraId="05FF93FB" w14:textId="77777777" w:rsidTr="00447A03">
        <w:trPr>
          <w:trHeight w:val="116"/>
        </w:trPr>
        <w:tc>
          <w:tcPr>
            <w:tcW w:w="456" w:type="pct"/>
            <w:noWrap/>
            <w:hideMark/>
          </w:tcPr>
          <w:p w14:paraId="3A12EEAD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  <w:t>Grin3a</w:t>
            </w:r>
          </w:p>
        </w:tc>
        <w:tc>
          <w:tcPr>
            <w:tcW w:w="3423" w:type="pct"/>
            <w:noWrap/>
            <w:hideMark/>
          </w:tcPr>
          <w:p w14:paraId="035B2FBA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Glutamate receptor ionotropic; NMDA3A</w:t>
            </w:r>
          </w:p>
        </w:tc>
        <w:tc>
          <w:tcPr>
            <w:tcW w:w="1120" w:type="pct"/>
          </w:tcPr>
          <w:p w14:paraId="5C42B3FB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Mm01341723_m1</w:t>
            </w:r>
          </w:p>
        </w:tc>
      </w:tr>
      <w:tr w:rsidR="00B948FE" w14:paraId="3B751AB6" w14:textId="77777777" w:rsidTr="00447A03">
        <w:trPr>
          <w:trHeight w:val="116"/>
        </w:trPr>
        <w:tc>
          <w:tcPr>
            <w:tcW w:w="456" w:type="pct"/>
            <w:noWrap/>
            <w:hideMark/>
          </w:tcPr>
          <w:p w14:paraId="38DCB7F6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  <w:t>Grm5</w:t>
            </w:r>
          </w:p>
        </w:tc>
        <w:tc>
          <w:tcPr>
            <w:tcW w:w="3423" w:type="pct"/>
            <w:noWrap/>
            <w:hideMark/>
          </w:tcPr>
          <w:p w14:paraId="068A1F8E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Glutamate receptor; metabotropic 5</w:t>
            </w:r>
          </w:p>
        </w:tc>
        <w:tc>
          <w:tcPr>
            <w:tcW w:w="1120" w:type="pct"/>
          </w:tcPr>
          <w:p w14:paraId="7BE92D20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Mm00690332_m1</w:t>
            </w:r>
          </w:p>
        </w:tc>
      </w:tr>
      <w:tr w:rsidR="00B948FE" w:rsidRPr="00295FB5" w14:paraId="3277190A" w14:textId="77777777" w:rsidTr="00447A03">
        <w:trPr>
          <w:trHeight w:val="116"/>
        </w:trPr>
        <w:tc>
          <w:tcPr>
            <w:tcW w:w="456" w:type="pct"/>
            <w:noWrap/>
            <w:hideMark/>
          </w:tcPr>
          <w:p w14:paraId="168E9C26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  <w:t>Gabra2</w:t>
            </w:r>
          </w:p>
        </w:tc>
        <w:tc>
          <w:tcPr>
            <w:tcW w:w="3423" w:type="pct"/>
            <w:noWrap/>
            <w:hideMark/>
          </w:tcPr>
          <w:p w14:paraId="78092416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val="en-GB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val="en-GB" w:eastAsia="es-ES"/>
              </w:rPr>
              <w:t>Gamma-aminobutyric acid (GABA) A receptor; subunit alpha 2</w:t>
            </w:r>
          </w:p>
        </w:tc>
        <w:tc>
          <w:tcPr>
            <w:tcW w:w="1120" w:type="pct"/>
          </w:tcPr>
          <w:p w14:paraId="11BA485F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val="en-GB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Mm00433435_m1</w:t>
            </w:r>
          </w:p>
        </w:tc>
      </w:tr>
      <w:tr w:rsidR="00B948FE" w14:paraId="5121766A" w14:textId="77777777" w:rsidTr="00447A03">
        <w:trPr>
          <w:trHeight w:val="116"/>
        </w:trPr>
        <w:tc>
          <w:tcPr>
            <w:tcW w:w="456" w:type="pct"/>
            <w:noWrap/>
            <w:hideMark/>
          </w:tcPr>
          <w:p w14:paraId="1E0854C6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  <w:t>Gabbr1</w:t>
            </w:r>
          </w:p>
        </w:tc>
        <w:tc>
          <w:tcPr>
            <w:tcW w:w="3423" w:type="pct"/>
            <w:noWrap/>
            <w:hideMark/>
          </w:tcPr>
          <w:p w14:paraId="40A8F5FD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Gamma-aminobutyric acid (GABA) B receptor; 1</w:t>
            </w:r>
          </w:p>
        </w:tc>
        <w:tc>
          <w:tcPr>
            <w:tcW w:w="1120" w:type="pct"/>
          </w:tcPr>
          <w:p w14:paraId="2CF1BE62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Mm00444578_m1</w:t>
            </w:r>
          </w:p>
        </w:tc>
      </w:tr>
      <w:tr w:rsidR="00B948FE" w14:paraId="7637E3B4" w14:textId="77777777" w:rsidTr="00447A03">
        <w:trPr>
          <w:trHeight w:val="116"/>
        </w:trPr>
        <w:tc>
          <w:tcPr>
            <w:tcW w:w="456" w:type="pct"/>
            <w:noWrap/>
            <w:hideMark/>
          </w:tcPr>
          <w:p w14:paraId="0BC89EEC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  <w:t>Gabrd</w:t>
            </w:r>
          </w:p>
        </w:tc>
        <w:tc>
          <w:tcPr>
            <w:tcW w:w="3423" w:type="pct"/>
            <w:noWrap/>
            <w:hideMark/>
          </w:tcPr>
          <w:p w14:paraId="2A85721E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Gamma-aminobutyric acid (GABA) A receptor; subunit delta</w:t>
            </w:r>
          </w:p>
        </w:tc>
        <w:tc>
          <w:tcPr>
            <w:tcW w:w="1120" w:type="pct"/>
          </w:tcPr>
          <w:p w14:paraId="5C77AD15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Mm01266203_g1</w:t>
            </w:r>
          </w:p>
        </w:tc>
      </w:tr>
      <w:tr w:rsidR="00B948FE" w14:paraId="09428205" w14:textId="77777777" w:rsidTr="00447A03">
        <w:trPr>
          <w:trHeight w:val="116"/>
        </w:trPr>
        <w:tc>
          <w:tcPr>
            <w:tcW w:w="456" w:type="pct"/>
            <w:noWrap/>
            <w:hideMark/>
          </w:tcPr>
          <w:p w14:paraId="592771DE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  <w:t>Slc32a1</w:t>
            </w:r>
          </w:p>
        </w:tc>
        <w:tc>
          <w:tcPr>
            <w:tcW w:w="3423" w:type="pct"/>
            <w:noWrap/>
            <w:hideMark/>
          </w:tcPr>
          <w:p w14:paraId="594826B1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Solute carrier family 32 (GABA vesicular transporter); member 1</w:t>
            </w:r>
          </w:p>
        </w:tc>
        <w:tc>
          <w:tcPr>
            <w:tcW w:w="1120" w:type="pct"/>
          </w:tcPr>
          <w:p w14:paraId="4001345C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Mm00494138_m1</w:t>
            </w:r>
          </w:p>
        </w:tc>
      </w:tr>
      <w:tr w:rsidR="00B948FE" w14:paraId="75F5CD90" w14:textId="77777777" w:rsidTr="00447A03">
        <w:trPr>
          <w:trHeight w:val="116"/>
        </w:trPr>
        <w:tc>
          <w:tcPr>
            <w:tcW w:w="456" w:type="pct"/>
            <w:noWrap/>
            <w:hideMark/>
          </w:tcPr>
          <w:p w14:paraId="5782B010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  <w:t>Gad1</w:t>
            </w:r>
          </w:p>
        </w:tc>
        <w:tc>
          <w:tcPr>
            <w:tcW w:w="3423" w:type="pct"/>
            <w:noWrap/>
            <w:hideMark/>
          </w:tcPr>
          <w:p w14:paraId="4BA94322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Glutamate decarboxylase 1</w:t>
            </w:r>
          </w:p>
        </w:tc>
        <w:tc>
          <w:tcPr>
            <w:tcW w:w="1120" w:type="pct"/>
          </w:tcPr>
          <w:p w14:paraId="378149B7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Mm04207432_g1</w:t>
            </w:r>
          </w:p>
        </w:tc>
      </w:tr>
      <w:tr w:rsidR="00B948FE" w14:paraId="5CE96795" w14:textId="77777777" w:rsidTr="00447A03">
        <w:trPr>
          <w:trHeight w:val="116"/>
        </w:trPr>
        <w:tc>
          <w:tcPr>
            <w:tcW w:w="456" w:type="pct"/>
            <w:noWrap/>
            <w:hideMark/>
          </w:tcPr>
          <w:p w14:paraId="71DC1694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  <w:t>Gad2</w:t>
            </w:r>
          </w:p>
        </w:tc>
        <w:tc>
          <w:tcPr>
            <w:tcW w:w="3423" w:type="pct"/>
            <w:noWrap/>
            <w:hideMark/>
          </w:tcPr>
          <w:p w14:paraId="235B22FB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Glutamic acid decarboxylase 2</w:t>
            </w:r>
          </w:p>
        </w:tc>
        <w:tc>
          <w:tcPr>
            <w:tcW w:w="1120" w:type="pct"/>
          </w:tcPr>
          <w:p w14:paraId="7A59AA5B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Mm00484623_m1</w:t>
            </w:r>
          </w:p>
        </w:tc>
      </w:tr>
      <w:tr w:rsidR="00B948FE" w14:paraId="4890AFB5" w14:textId="77777777" w:rsidTr="00447A03">
        <w:trPr>
          <w:trHeight w:val="116"/>
        </w:trPr>
        <w:tc>
          <w:tcPr>
            <w:tcW w:w="456" w:type="pct"/>
            <w:noWrap/>
            <w:hideMark/>
          </w:tcPr>
          <w:p w14:paraId="0137A928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  <w:t>Fosb</w:t>
            </w:r>
          </w:p>
        </w:tc>
        <w:tc>
          <w:tcPr>
            <w:tcW w:w="3423" w:type="pct"/>
            <w:noWrap/>
            <w:hideMark/>
          </w:tcPr>
          <w:p w14:paraId="4F6117D5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FBJ osteosarcoma oncogene B</w:t>
            </w:r>
          </w:p>
        </w:tc>
        <w:tc>
          <w:tcPr>
            <w:tcW w:w="1120" w:type="pct"/>
          </w:tcPr>
          <w:p w14:paraId="5ADC17FA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Mm00500401_m1</w:t>
            </w:r>
          </w:p>
        </w:tc>
      </w:tr>
      <w:tr w:rsidR="00B948FE" w14:paraId="1B11C078" w14:textId="77777777" w:rsidTr="00447A03">
        <w:trPr>
          <w:trHeight w:val="116"/>
        </w:trPr>
        <w:tc>
          <w:tcPr>
            <w:tcW w:w="456" w:type="pct"/>
            <w:noWrap/>
            <w:hideMark/>
          </w:tcPr>
          <w:p w14:paraId="71B17D14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  <w:t>Jund</w:t>
            </w:r>
          </w:p>
        </w:tc>
        <w:tc>
          <w:tcPr>
            <w:tcW w:w="3423" w:type="pct"/>
            <w:noWrap/>
            <w:hideMark/>
          </w:tcPr>
          <w:p w14:paraId="41186FA9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Jun D proto-oncogene</w:t>
            </w:r>
          </w:p>
        </w:tc>
        <w:tc>
          <w:tcPr>
            <w:tcW w:w="1120" w:type="pct"/>
          </w:tcPr>
          <w:p w14:paraId="618088EC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Mm04208316_s1</w:t>
            </w:r>
          </w:p>
        </w:tc>
      </w:tr>
      <w:tr w:rsidR="00B948FE" w:rsidRPr="00295FB5" w14:paraId="329D0DB3" w14:textId="77777777" w:rsidTr="00447A03">
        <w:trPr>
          <w:trHeight w:val="116"/>
        </w:trPr>
        <w:tc>
          <w:tcPr>
            <w:tcW w:w="456" w:type="pct"/>
            <w:noWrap/>
            <w:hideMark/>
          </w:tcPr>
          <w:p w14:paraId="1311834E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  <w:t>Ehmt2</w:t>
            </w:r>
          </w:p>
        </w:tc>
        <w:tc>
          <w:tcPr>
            <w:tcW w:w="3423" w:type="pct"/>
            <w:noWrap/>
            <w:hideMark/>
          </w:tcPr>
          <w:p w14:paraId="21E6F44C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val="en-GB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val="en-GB" w:eastAsia="es-ES"/>
              </w:rPr>
              <w:t>Euchromatic histone lysine N-methyltransferase 2</w:t>
            </w:r>
          </w:p>
        </w:tc>
        <w:tc>
          <w:tcPr>
            <w:tcW w:w="1120" w:type="pct"/>
          </w:tcPr>
          <w:p w14:paraId="3436BA7D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val="en-GB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Mm01132261_m1</w:t>
            </w:r>
          </w:p>
        </w:tc>
      </w:tr>
      <w:tr w:rsidR="00B948FE" w:rsidRPr="00295FB5" w14:paraId="612D391E" w14:textId="77777777" w:rsidTr="00447A03">
        <w:trPr>
          <w:trHeight w:val="116"/>
        </w:trPr>
        <w:tc>
          <w:tcPr>
            <w:tcW w:w="456" w:type="pct"/>
            <w:noWrap/>
            <w:hideMark/>
          </w:tcPr>
          <w:p w14:paraId="4E236005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  <w:t>Nfkb1</w:t>
            </w:r>
          </w:p>
        </w:tc>
        <w:tc>
          <w:tcPr>
            <w:tcW w:w="3423" w:type="pct"/>
            <w:noWrap/>
            <w:hideMark/>
          </w:tcPr>
          <w:p w14:paraId="3E279168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val="en-GB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val="en-GB" w:eastAsia="es-ES"/>
              </w:rPr>
              <w:t>Nuclear factor of kappa light polypeptide gene enhancer in B cells 1; p105</w:t>
            </w:r>
          </w:p>
        </w:tc>
        <w:tc>
          <w:tcPr>
            <w:tcW w:w="1120" w:type="pct"/>
          </w:tcPr>
          <w:p w14:paraId="0F022AB6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val="en-GB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Nfkb1_Mm00476361_m1</w:t>
            </w:r>
          </w:p>
        </w:tc>
      </w:tr>
      <w:tr w:rsidR="00B948FE" w14:paraId="4D805A9D" w14:textId="77777777" w:rsidTr="00447A03">
        <w:trPr>
          <w:trHeight w:val="116"/>
        </w:trPr>
        <w:tc>
          <w:tcPr>
            <w:tcW w:w="456" w:type="pct"/>
            <w:noWrap/>
            <w:hideMark/>
          </w:tcPr>
          <w:p w14:paraId="1EF52C29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  <w:t>Penk</w:t>
            </w:r>
          </w:p>
        </w:tc>
        <w:tc>
          <w:tcPr>
            <w:tcW w:w="3423" w:type="pct"/>
            <w:noWrap/>
            <w:hideMark/>
          </w:tcPr>
          <w:p w14:paraId="3EABE8D3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Preproenkephalin</w:t>
            </w:r>
          </w:p>
        </w:tc>
        <w:tc>
          <w:tcPr>
            <w:tcW w:w="1120" w:type="pct"/>
          </w:tcPr>
          <w:p w14:paraId="640FCEE0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Mm01212875_m1</w:t>
            </w:r>
          </w:p>
        </w:tc>
      </w:tr>
      <w:tr w:rsidR="00B948FE" w14:paraId="31A3DFB1" w14:textId="77777777" w:rsidTr="00447A03">
        <w:trPr>
          <w:trHeight w:val="116"/>
        </w:trPr>
        <w:tc>
          <w:tcPr>
            <w:tcW w:w="456" w:type="pct"/>
            <w:noWrap/>
            <w:hideMark/>
          </w:tcPr>
          <w:p w14:paraId="502120CF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  <w:t>Sirt1</w:t>
            </w:r>
          </w:p>
        </w:tc>
        <w:tc>
          <w:tcPr>
            <w:tcW w:w="3423" w:type="pct"/>
            <w:noWrap/>
            <w:hideMark/>
          </w:tcPr>
          <w:p w14:paraId="21F494FF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Sirtuin 1</w:t>
            </w:r>
          </w:p>
        </w:tc>
        <w:tc>
          <w:tcPr>
            <w:tcW w:w="1120" w:type="pct"/>
          </w:tcPr>
          <w:p w14:paraId="3F04AE6A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Mm01168521_m1</w:t>
            </w:r>
          </w:p>
        </w:tc>
      </w:tr>
      <w:tr w:rsidR="00B948FE" w14:paraId="7ADD7D7A" w14:textId="77777777" w:rsidTr="00447A03">
        <w:trPr>
          <w:trHeight w:val="116"/>
        </w:trPr>
        <w:tc>
          <w:tcPr>
            <w:tcW w:w="456" w:type="pct"/>
            <w:noWrap/>
            <w:hideMark/>
          </w:tcPr>
          <w:p w14:paraId="76C95234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  <w:t>Sirt2</w:t>
            </w:r>
          </w:p>
        </w:tc>
        <w:tc>
          <w:tcPr>
            <w:tcW w:w="3423" w:type="pct"/>
            <w:noWrap/>
            <w:hideMark/>
          </w:tcPr>
          <w:p w14:paraId="24638AFB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Sirtuin 2</w:t>
            </w:r>
          </w:p>
        </w:tc>
        <w:tc>
          <w:tcPr>
            <w:tcW w:w="1120" w:type="pct"/>
          </w:tcPr>
          <w:p w14:paraId="19D77CDA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Mm01149204_m1</w:t>
            </w:r>
          </w:p>
        </w:tc>
      </w:tr>
      <w:tr w:rsidR="00B948FE" w14:paraId="3E7D2CA1" w14:textId="77777777" w:rsidTr="00447A03">
        <w:trPr>
          <w:trHeight w:val="116"/>
        </w:trPr>
        <w:tc>
          <w:tcPr>
            <w:tcW w:w="456" w:type="pct"/>
            <w:noWrap/>
            <w:hideMark/>
          </w:tcPr>
          <w:p w14:paraId="1E2399B3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  <w:t>Gfap</w:t>
            </w:r>
          </w:p>
        </w:tc>
        <w:tc>
          <w:tcPr>
            <w:tcW w:w="3423" w:type="pct"/>
            <w:noWrap/>
            <w:hideMark/>
          </w:tcPr>
          <w:p w14:paraId="56CC1C8D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Glial fibrillary acidic protein</w:t>
            </w:r>
          </w:p>
        </w:tc>
        <w:tc>
          <w:tcPr>
            <w:tcW w:w="1120" w:type="pct"/>
          </w:tcPr>
          <w:p w14:paraId="6F7033B9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Mm01253033_m1</w:t>
            </w:r>
          </w:p>
        </w:tc>
      </w:tr>
      <w:tr w:rsidR="00B948FE" w14:paraId="508E5A35" w14:textId="77777777" w:rsidTr="00447A03">
        <w:trPr>
          <w:trHeight w:val="116"/>
        </w:trPr>
        <w:tc>
          <w:tcPr>
            <w:tcW w:w="456" w:type="pct"/>
            <w:noWrap/>
            <w:hideMark/>
          </w:tcPr>
          <w:p w14:paraId="6325F008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  <w:t>Adora1</w:t>
            </w:r>
          </w:p>
        </w:tc>
        <w:tc>
          <w:tcPr>
            <w:tcW w:w="3423" w:type="pct"/>
            <w:noWrap/>
            <w:hideMark/>
          </w:tcPr>
          <w:p w14:paraId="4176510D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Adenosine A1 receptor</w:t>
            </w:r>
          </w:p>
        </w:tc>
        <w:tc>
          <w:tcPr>
            <w:tcW w:w="1120" w:type="pct"/>
          </w:tcPr>
          <w:p w14:paraId="73103A02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Mm01308023_m1</w:t>
            </w:r>
          </w:p>
        </w:tc>
      </w:tr>
      <w:tr w:rsidR="00B948FE" w14:paraId="2FEC9F22" w14:textId="77777777" w:rsidTr="00447A03">
        <w:trPr>
          <w:trHeight w:val="116"/>
        </w:trPr>
        <w:tc>
          <w:tcPr>
            <w:tcW w:w="456" w:type="pct"/>
            <w:noWrap/>
            <w:hideMark/>
          </w:tcPr>
          <w:p w14:paraId="00278A49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  <w:t>Adora2a</w:t>
            </w:r>
          </w:p>
        </w:tc>
        <w:tc>
          <w:tcPr>
            <w:tcW w:w="3423" w:type="pct"/>
            <w:noWrap/>
            <w:hideMark/>
          </w:tcPr>
          <w:p w14:paraId="07F0BCA2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Adenosine A2a receptor</w:t>
            </w:r>
          </w:p>
        </w:tc>
        <w:tc>
          <w:tcPr>
            <w:tcW w:w="1120" w:type="pct"/>
          </w:tcPr>
          <w:p w14:paraId="3981497A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Mm00802075_m1</w:t>
            </w:r>
          </w:p>
        </w:tc>
      </w:tr>
      <w:tr w:rsidR="00B948FE" w14:paraId="321F88B1" w14:textId="77777777" w:rsidTr="00447A03">
        <w:trPr>
          <w:trHeight w:val="116"/>
        </w:trPr>
        <w:tc>
          <w:tcPr>
            <w:tcW w:w="456" w:type="pct"/>
            <w:noWrap/>
            <w:hideMark/>
          </w:tcPr>
          <w:p w14:paraId="23A1B365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  <w:t>Bdnf</w:t>
            </w:r>
          </w:p>
        </w:tc>
        <w:tc>
          <w:tcPr>
            <w:tcW w:w="3423" w:type="pct"/>
            <w:noWrap/>
            <w:hideMark/>
          </w:tcPr>
          <w:p w14:paraId="0D6BED94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Nrain derived neurotrophic factor</w:t>
            </w:r>
          </w:p>
        </w:tc>
        <w:tc>
          <w:tcPr>
            <w:tcW w:w="1120" w:type="pct"/>
          </w:tcPr>
          <w:p w14:paraId="00860FFA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Mm01334044_m1</w:t>
            </w:r>
          </w:p>
        </w:tc>
      </w:tr>
      <w:tr w:rsidR="00B948FE" w14:paraId="345FE16D" w14:textId="77777777" w:rsidTr="00447A03">
        <w:trPr>
          <w:trHeight w:val="116"/>
        </w:trPr>
        <w:tc>
          <w:tcPr>
            <w:tcW w:w="456" w:type="pct"/>
            <w:noWrap/>
          </w:tcPr>
          <w:p w14:paraId="7ECBC1D8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  <w:t>Hprt</w:t>
            </w:r>
          </w:p>
        </w:tc>
        <w:tc>
          <w:tcPr>
            <w:tcW w:w="3423" w:type="pct"/>
            <w:noWrap/>
          </w:tcPr>
          <w:p w14:paraId="69D8751D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Hypoxanthine guanine phosphoribosyl transferase</w:t>
            </w:r>
          </w:p>
        </w:tc>
        <w:tc>
          <w:tcPr>
            <w:tcW w:w="1120" w:type="pct"/>
          </w:tcPr>
          <w:p w14:paraId="3011C283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Mm03024075_m1</w:t>
            </w:r>
          </w:p>
        </w:tc>
      </w:tr>
      <w:tr w:rsidR="00B948FE" w14:paraId="496A4FFB" w14:textId="77777777" w:rsidTr="00447A03">
        <w:trPr>
          <w:trHeight w:val="116"/>
        </w:trPr>
        <w:tc>
          <w:tcPr>
            <w:tcW w:w="456" w:type="pct"/>
            <w:noWrap/>
            <w:hideMark/>
          </w:tcPr>
          <w:p w14:paraId="5D57D129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  <w:t>B2m</w:t>
            </w:r>
          </w:p>
        </w:tc>
        <w:tc>
          <w:tcPr>
            <w:tcW w:w="3423" w:type="pct"/>
            <w:noWrap/>
            <w:hideMark/>
          </w:tcPr>
          <w:p w14:paraId="0D000570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Beta-2 microglobulin</w:t>
            </w:r>
          </w:p>
        </w:tc>
        <w:tc>
          <w:tcPr>
            <w:tcW w:w="1120" w:type="pct"/>
          </w:tcPr>
          <w:p w14:paraId="54DD509C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B2m_Mm00437762_m1</w:t>
            </w:r>
          </w:p>
        </w:tc>
      </w:tr>
      <w:tr w:rsidR="00B948FE" w14:paraId="11D34296" w14:textId="77777777" w:rsidTr="00447A03">
        <w:trPr>
          <w:trHeight w:val="116"/>
        </w:trPr>
        <w:tc>
          <w:tcPr>
            <w:tcW w:w="456" w:type="pct"/>
            <w:noWrap/>
            <w:hideMark/>
          </w:tcPr>
          <w:p w14:paraId="0E8B2BD3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8"/>
                <w:lang w:eastAsia="es-ES"/>
              </w:rPr>
              <w:t>Actb</w:t>
            </w:r>
          </w:p>
        </w:tc>
        <w:tc>
          <w:tcPr>
            <w:tcW w:w="3423" w:type="pct"/>
            <w:noWrap/>
            <w:hideMark/>
          </w:tcPr>
          <w:p w14:paraId="0C1CF6C0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Actin; beta</w:t>
            </w:r>
          </w:p>
        </w:tc>
        <w:tc>
          <w:tcPr>
            <w:tcW w:w="1120" w:type="pct"/>
          </w:tcPr>
          <w:p w14:paraId="4E32E6F6" w14:textId="77777777" w:rsidR="00B948FE" w:rsidRDefault="00B948FE" w:rsidP="00447A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8"/>
                <w:lang w:eastAsia="es-ES"/>
              </w:rPr>
              <w:t>Mm01205647_g1</w:t>
            </w:r>
          </w:p>
        </w:tc>
      </w:tr>
    </w:tbl>
    <w:p w14:paraId="0691D86C" w14:textId="70AE3873" w:rsidR="008B07A6" w:rsidRDefault="00B948FE">
      <w:r w:rsidRPr="0006009F">
        <w:rPr>
          <w:b/>
          <w:bCs/>
          <w:sz w:val="20"/>
          <w:szCs w:val="20"/>
          <w:lang w:val="en-US"/>
        </w:rPr>
        <w:t>Supplementary Table 1.</w:t>
      </w:r>
      <w:r w:rsidRPr="0006009F">
        <w:rPr>
          <w:sz w:val="20"/>
          <w:szCs w:val="20"/>
          <w:lang w:val="en-US"/>
        </w:rPr>
        <w:t xml:space="preserve"> Assay IDs and the corresponding targets of the OpenArray</w:t>
      </w:r>
      <w:r w:rsidRPr="0006009F">
        <w:rPr>
          <w:sz w:val="20"/>
          <w:szCs w:val="20"/>
          <w:vertAlign w:val="superscript"/>
          <w:lang w:val="en-US"/>
        </w:rPr>
        <w:t>TM</w:t>
      </w:r>
      <w:r w:rsidRPr="0006009F">
        <w:rPr>
          <w:lang w:val="en-US"/>
        </w:rPr>
        <w:t>.</w:t>
      </w:r>
    </w:p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8FE"/>
    <w:rsid w:val="00066677"/>
    <w:rsid w:val="00153A17"/>
    <w:rsid w:val="001A37F3"/>
    <w:rsid w:val="003A4E89"/>
    <w:rsid w:val="00556784"/>
    <w:rsid w:val="007233AC"/>
    <w:rsid w:val="008B07A6"/>
    <w:rsid w:val="0097029A"/>
    <w:rsid w:val="00987B63"/>
    <w:rsid w:val="00A234E6"/>
    <w:rsid w:val="00B948FE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FE032"/>
  <w15:chartTrackingRefBased/>
  <w15:docId w15:val="{64FDAD70-BBD7-4109-A4B4-169AFEF6D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48FE"/>
    <w:pPr>
      <w:spacing w:line="259" w:lineRule="auto"/>
    </w:pPr>
    <w:rPr>
      <w:kern w:val="0"/>
      <w:sz w:val="22"/>
      <w:szCs w:val="22"/>
      <w:lang w:val="es-E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48F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48F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48F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48F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48F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48F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48F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48F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48F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48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48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48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48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48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48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48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48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48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48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948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48F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948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48F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948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48FE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948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48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48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48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524</Words>
  <Characters>2989</Characters>
  <Application>Microsoft Office Word</Application>
  <DocSecurity>0</DocSecurity>
  <Lines>24</Lines>
  <Paragraphs>7</Paragraphs>
  <ScaleCrop>false</ScaleCrop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2026-07-31T11:09:00Z</dcterms:created>
  <dcterms:modified xsi:type="dcterms:W3CDTF">2026-07-31T11:11:00Z</dcterms:modified>
</cp:coreProperties>
</file>