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line="264" w:lineRule="auto"/>
        <w:jc w:val="center"/>
      </w:pPr>
      <w:r>
        <w:rPr>
          <w:rFonts w:ascii="Arial" w:hAnsi="Arial"/>
          <w:b/>
          <w:i w:val="0"/>
          <w:sz w:val="30"/>
        </w:rPr>
        <w:t>Supplementary Materials: Results</w:t>
      </w:r>
    </w:p>
    <w:p>
      <w:pPr>
        <w:spacing w:after="80" w:line="264" w:lineRule="auto"/>
      </w:pPr>
      <w:r>
        <w:rPr>
          <w:rFonts w:ascii="Arial" w:hAnsi="Arial"/>
          <w:b/>
          <w:i w:val="0"/>
          <w:sz w:val="18"/>
        </w:rPr>
        <w:t>Supplementary Table S1. Checkpoint comparison and CD8+ T-cell association statistics in the retained TCGA-HNSC analysis.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5"/>
        <w:gridCol w:w="2045"/>
        <w:gridCol w:w="2045"/>
        <w:gridCol w:w="2045"/>
        <w:gridCol w:w="2045"/>
      </w:tblGrid>
      <w:tr>
        <w:tc>
          <w:tcPr>
            <w:tcW w:type="dxa" w:w="2045"/>
          </w:tcPr>
          <w:p>
            <w:r>
              <w:rPr>
                <w:rFonts w:ascii="Arial" w:hAnsi="Arial"/>
                <w:b/>
                <w:i w:val="0"/>
                <w:sz w:val="16"/>
              </w:rPr>
              <w:t>Gene</w:t>
            </w:r>
          </w:p>
        </w:tc>
        <w:tc>
          <w:tcPr>
            <w:tcW w:type="dxa" w:w="2045"/>
          </w:tcPr>
          <w:p>
            <w:r>
              <w:rPr>
                <w:rFonts w:ascii="Arial" w:hAnsi="Arial"/>
                <w:b/>
                <w:i w:val="0"/>
                <w:sz w:val="16"/>
              </w:rPr>
              <w:t>Comparison P</w:t>
            </w:r>
          </w:p>
        </w:tc>
        <w:tc>
          <w:tcPr>
            <w:tcW w:type="dxa" w:w="2045"/>
          </w:tcPr>
          <w:p>
            <w:r>
              <w:rPr>
                <w:rFonts w:ascii="Arial" w:hAnsi="Arial"/>
                <w:b/>
                <w:i w:val="0"/>
                <w:sz w:val="16"/>
              </w:rPr>
              <w:t>BH FDR</w:t>
            </w:r>
          </w:p>
        </w:tc>
        <w:tc>
          <w:tcPr>
            <w:tcW w:type="dxa" w:w="2045"/>
          </w:tcPr>
          <w:p>
            <w:r>
              <w:rPr>
                <w:rFonts w:ascii="Arial" w:hAnsi="Arial"/>
                <w:b/>
                <w:i w:val="0"/>
                <w:sz w:val="16"/>
              </w:rPr>
              <w:t>FDR &lt; 0.05</w:t>
            </w:r>
          </w:p>
        </w:tc>
        <w:tc>
          <w:tcPr>
            <w:tcW w:type="dxa" w:w="2045"/>
          </w:tcPr>
          <w:p>
            <w:r>
              <w:rPr>
                <w:rFonts w:ascii="Arial" w:hAnsi="Arial"/>
                <w:b/>
                <w:i w:val="0"/>
                <w:sz w:val="16"/>
              </w:rPr>
              <w:t>CD8 Spearman r</w:t>
            </w:r>
          </w:p>
        </w:tc>
      </w:tr>
      <w:tr>
        <w:tc>
          <w:tcPr>
            <w:tcW w:type="dxa" w:w="2045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CTLA4</w:t>
            </w:r>
          </w:p>
        </w:tc>
        <w:tc>
          <w:tcPr>
            <w:tcW w:type="dxa" w:w="2045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0.009266</w:t>
            </w:r>
          </w:p>
        </w:tc>
        <w:tc>
          <w:tcPr>
            <w:tcW w:type="dxa" w:w="2045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0.022346</w:t>
            </w:r>
          </w:p>
        </w:tc>
        <w:tc>
          <w:tcPr>
            <w:tcW w:type="dxa" w:w="2045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Yes</w:t>
            </w:r>
          </w:p>
        </w:tc>
        <w:tc>
          <w:tcPr>
            <w:tcW w:type="dxa" w:w="2045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0.464507</w:t>
            </w:r>
          </w:p>
        </w:tc>
      </w:tr>
      <w:tr>
        <w:tc>
          <w:tcPr>
            <w:tcW w:type="dxa" w:w="2045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TIGIT</w:t>
            </w:r>
          </w:p>
        </w:tc>
        <w:tc>
          <w:tcPr>
            <w:tcW w:type="dxa" w:w="2045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0.135686</w:t>
            </w:r>
          </w:p>
        </w:tc>
        <w:tc>
          <w:tcPr>
            <w:tcW w:type="dxa" w:w="2045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0.169608</w:t>
            </w:r>
          </w:p>
        </w:tc>
        <w:tc>
          <w:tcPr>
            <w:tcW w:type="dxa" w:w="2045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No</w:t>
            </w:r>
          </w:p>
        </w:tc>
        <w:tc>
          <w:tcPr>
            <w:tcW w:type="dxa" w:w="2045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0.611133</w:t>
            </w:r>
          </w:p>
        </w:tc>
      </w:tr>
      <w:tr>
        <w:tc>
          <w:tcPr>
            <w:tcW w:type="dxa" w:w="2045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LAG3</w:t>
            </w:r>
          </w:p>
        </w:tc>
        <w:tc>
          <w:tcPr>
            <w:tcW w:type="dxa" w:w="2045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0.015901</w:t>
            </w:r>
          </w:p>
        </w:tc>
        <w:tc>
          <w:tcPr>
            <w:tcW w:type="dxa" w:w="2045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0.022715</w:t>
            </w:r>
          </w:p>
        </w:tc>
        <w:tc>
          <w:tcPr>
            <w:tcW w:type="dxa" w:w="2045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Yes</w:t>
            </w:r>
          </w:p>
        </w:tc>
        <w:tc>
          <w:tcPr>
            <w:tcW w:type="dxa" w:w="2045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0.651854</w:t>
            </w:r>
          </w:p>
        </w:tc>
      </w:tr>
    </w:tbl>
    <w:p>
      <w:pPr>
        <w:spacing w:after="80" w:line="264" w:lineRule="auto"/>
      </w:pPr>
      <w:r>
        <w:rPr>
          <w:rFonts w:ascii="Arial" w:hAnsi="Arial"/>
          <w:b w:val="0"/>
          <w:i w:val="0"/>
          <w:sz w:val="6"/>
        </w:rPr>
      </w:r>
    </w:p>
    <w:p>
      <w:pPr>
        <w:spacing w:after="80" w:line="264" w:lineRule="auto"/>
      </w:pPr>
      <w:r>
        <w:rPr>
          <w:rFonts w:ascii="Arial" w:hAnsi="Arial"/>
          <w:b/>
          <w:i w:val="0"/>
          <w:sz w:val="18"/>
        </w:rPr>
        <w:t>Supplementary Table S2. Validation details for the reconstructed CTLA4-TIGIT two-gene risk score.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rPr>
                <w:rFonts w:ascii="Arial" w:hAnsi="Arial"/>
                <w:b/>
                <w:i w:val="0"/>
                <w:sz w:val="16"/>
              </w:rPr>
              <w:t>Metric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b/>
                <w:i w:val="0"/>
                <w:sz w:val="16"/>
              </w:rPr>
              <w:t>Value</w:t>
            </w:r>
          </w:p>
        </w:tc>
      </w:tr>
      <w:tr>
        <w:tc>
          <w:tcPr>
            <w:tcW w:type="dxa" w:w="5112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TIGIT coefficient</w:t>
            </w:r>
          </w:p>
        </w:tc>
        <w:tc>
          <w:tcPr>
            <w:tcW w:type="dxa" w:w="5112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-0.0945158</w:t>
            </w:r>
          </w:p>
        </w:tc>
      </w:tr>
      <w:tr>
        <w:tc>
          <w:tcPr>
            <w:tcW w:type="dxa" w:w="5112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CTLA4 coefficient</w:t>
            </w:r>
          </w:p>
        </w:tc>
        <w:tc>
          <w:tcPr>
            <w:tcW w:type="dxa" w:w="5112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-0.0737717</w:t>
            </w:r>
          </w:p>
        </w:tc>
      </w:tr>
      <w:tr>
        <w:tc>
          <w:tcPr>
            <w:tcW w:type="dxa" w:w="5112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LAG3 coefficient included in score</w:t>
            </w:r>
          </w:p>
        </w:tc>
        <w:tc>
          <w:tcPr>
            <w:tcW w:type="dxa" w:w="5112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No</w:t>
            </w:r>
          </w:p>
        </w:tc>
      </w:tr>
      <w:tr>
        <w:tc>
          <w:tcPr>
            <w:tcW w:type="dxa" w:w="5112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Exact matched samples</w:t>
            </w:r>
          </w:p>
        </w:tc>
        <w:tc>
          <w:tcPr>
            <w:tcW w:type="dxa" w:w="5112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467</w:t>
            </w:r>
          </w:p>
        </w:tc>
      </w:tr>
      <w:tr>
        <w:tc>
          <w:tcPr>
            <w:tcW w:type="dxa" w:w="5112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Maximum absolute score residual</w:t>
            </w:r>
          </w:p>
        </w:tc>
        <w:tc>
          <w:tcPr>
            <w:tcW w:type="dxa" w:w="5112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1.443e-15</w:t>
            </w:r>
          </w:p>
        </w:tc>
      </w:tr>
      <w:tr>
        <w:tc>
          <w:tcPr>
            <w:tcW w:type="dxa" w:w="5112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Median score cutoff</w:t>
            </w:r>
          </w:p>
        </w:tc>
        <w:tc>
          <w:tcPr>
            <w:tcW w:type="dxa" w:w="5112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-0.388726</w:t>
            </w:r>
          </w:p>
        </w:tc>
      </w:tr>
      <w:tr>
        <w:tc>
          <w:tcPr>
            <w:tcW w:type="dxa" w:w="5112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Low-risk / high-risk samples</w:t>
            </w:r>
          </w:p>
        </w:tc>
        <w:tc>
          <w:tcPr>
            <w:tcW w:type="dxa" w:w="5112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233 / 234</w:t>
            </w:r>
          </w:p>
        </w:tc>
      </w:tr>
      <w:tr>
        <w:tc>
          <w:tcPr>
            <w:tcW w:type="dxa" w:w="5112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Overall-survival log-rank P</w:t>
            </w:r>
          </w:p>
        </w:tc>
        <w:tc>
          <w:tcPr>
            <w:tcW w:type="dxa" w:w="5112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0.000481</w:t>
            </w:r>
          </w:p>
        </w:tc>
      </w:tr>
      <w:tr>
        <w:tc>
          <w:tcPr>
            <w:tcW w:type="dxa" w:w="5112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High-risk versus low-risk hazard ratio (95% CI)</w:t>
            </w:r>
          </w:p>
        </w:tc>
        <w:tc>
          <w:tcPr>
            <w:tcW w:type="dxa" w:w="5112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1.64 (1.24-2.18)</w:t>
            </w:r>
          </w:p>
        </w:tc>
      </w:tr>
    </w:tbl>
    <w:p>
      <w:pPr>
        <w:spacing w:after="80" w:line="264" w:lineRule="auto"/>
      </w:pPr>
      <w:r>
        <w:rPr>
          <w:rFonts w:ascii="Arial" w:hAnsi="Arial"/>
          <w:b w:val="0"/>
          <w:i w:val="0"/>
          <w:sz w:val="6"/>
        </w:rPr>
      </w:r>
    </w:p>
    <w:p>
      <w:pPr>
        <w:spacing w:after="80" w:line="264" w:lineRule="auto"/>
      </w:pPr>
      <w:r>
        <w:rPr>
          <w:rFonts w:ascii="Arial" w:hAnsi="Arial"/>
          <w:b/>
          <w:i w:val="0"/>
          <w:sz w:val="18"/>
        </w:rPr>
        <w:t>Supplementary Table S3. CTLA4 and TIGIT values across retained annotated single-cell lineages. These source files are summary matrices, not cell-level objects.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3408"/>
          </w:tcPr>
          <w:p>
            <w:r>
              <w:rPr>
                <w:rFonts w:ascii="Arial" w:hAnsi="Arial"/>
                <w:b/>
                <w:i w:val="0"/>
                <w:sz w:val="16"/>
              </w:rPr>
              <w:t>Annotated lineage</w:t>
            </w:r>
          </w:p>
        </w:tc>
        <w:tc>
          <w:tcPr>
            <w:tcW w:type="dxa" w:w="3408"/>
          </w:tcPr>
          <w:p>
            <w:r>
              <w:rPr>
                <w:rFonts w:ascii="Arial" w:hAnsi="Arial"/>
                <w:b/>
                <w:i w:val="0"/>
                <w:sz w:val="16"/>
              </w:rPr>
              <w:t>CTLA4</w:t>
            </w:r>
          </w:p>
        </w:tc>
        <w:tc>
          <w:tcPr>
            <w:tcW w:type="dxa" w:w="3408"/>
          </w:tcPr>
          <w:p>
            <w:r>
              <w:rPr>
                <w:rFonts w:ascii="Arial" w:hAnsi="Arial"/>
                <w:b/>
                <w:i w:val="0"/>
                <w:sz w:val="16"/>
              </w:rPr>
              <w:t>TIGIT</w:t>
            </w:r>
          </w:p>
        </w:tc>
      </w:tr>
      <w:tr>
        <w:tc>
          <w:tcPr>
            <w:tcW w:type="dxa" w:w="3408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Keratinocytes</w:t>
            </w:r>
          </w:p>
        </w:tc>
        <w:tc>
          <w:tcPr>
            <w:tcW w:type="dxa" w:w="3408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0.00161</w:t>
            </w:r>
          </w:p>
        </w:tc>
        <w:tc>
          <w:tcPr>
            <w:tcW w:type="dxa" w:w="3408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0.00269</w:t>
            </w:r>
          </w:p>
        </w:tc>
      </w:tr>
      <w:tr>
        <w:tc>
          <w:tcPr>
            <w:tcW w:type="dxa" w:w="3408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Mast</w:t>
            </w:r>
          </w:p>
        </w:tc>
        <w:tc>
          <w:tcPr>
            <w:tcW w:type="dxa" w:w="3408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0.00745</w:t>
            </w:r>
          </w:p>
        </w:tc>
        <w:tc>
          <w:tcPr>
            <w:tcW w:type="dxa" w:w="3408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0.02115</w:t>
            </w:r>
          </w:p>
        </w:tc>
      </w:tr>
      <w:tr>
        <w:tc>
          <w:tcPr>
            <w:tcW w:type="dxa" w:w="3408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Malignant</w:t>
            </w:r>
          </w:p>
        </w:tc>
        <w:tc>
          <w:tcPr>
            <w:tcW w:type="dxa" w:w="3408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0.00432</w:t>
            </w:r>
          </w:p>
        </w:tc>
        <w:tc>
          <w:tcPr>
            <w:tcW w:type="dxa" w:w="3408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0.00428</w:t>
            </w:r>
          </w:p>
        </w:tc>
      </w:tr>
      <w:tr>
        <w:tc>
          <w:tcPr>
            <w:tcW w:type="dxa" w:w="3408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Mono/Macro</w:t>
            </w:r>
          </w:p>
        </w:tc>
        <w:tc>
          <w:tcPr>
            <w:tcW w:type="dxa" w:w="3408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0.01378</w:t>
            </w:r>
          </w:p>
        </w:tc>
        <w:tc>
          <w:tcPr>
            <w:tcW w:type="dxa" w:w="3408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0.01042</w:t>
            </w:r>
          </w:p>
        </w:tc>
      </w:tr>
      <w:tr>
        <w:tc>
          <w:tcPr>
            <w:tcW w:type="dxa" w:w="3408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NK</w:t>
            </w:r>
          </w:p>
        </w:tc>
        <w:tc>
          <w:tcPr>
            <w:tcW w:type="dxa" w:w="3408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0.51396</w:t>
            </w:r>
          </w:p>
        </w:tc>
        <w:tc>
          <w:tcPr>
            <w:tcW w:type="dxa" w:w="3408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0.65352</w:t>
            </w:r>
          </w:p>
        </w:tc>
      </w:tr>
      <w:tr>
        <w:tc>
          <w:tcPr>
            <w:tcW w:type="dxa" w:w="3408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Epithelial</w:t>
            </w:r>
          </w:p>
        </w:tc>
        <w:tc>
          <w:tcPr>
            <w:tcW w:type="dxa" w:w="3408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0.00000</w:t>
            </w:r>
          </w:p>
        </w:tc>
        <w:tc>
          <w:tcPr>
            <w:tcW w:type="dxa" w:w="3408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0.00000</w:t>
            </w:r>
          </w:p>
        </w:tc>
      </w:tr>
      <w:tr>
        <w:tc>
          <w:tcPr>
            <w:tcW w:type="dxa" w:w="3408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Endothelial</w:t>
            </w:r>
          </w:p>
        </w:tc>
        <w:tc>
          <w:tcPr>
            <w:tcW w:type="dxa" w:w="3408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0.00852</w:t>
            </w:r>
          </w:p>
        </w:tc>
        <w:tc>
          <w:tcPr>
            <w:tcW w:type="dxa" w:w="3408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0.01003</w:t>
            </w:r>
          </w:p>
        </w:tc>
      </w:tr>
      <w:tr>
        <w:tc>
          <w:tcPr>
            <w:tcW w:type="dxa" w:w="3408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Treg</w:t>
            </w:r>
          </w:p>
        </w:tc>
        <w:tc>
          <w:tcPr>
            <w:tcW w:type="dxa" w:w="3408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0.51974</w:t>
            </w:r>
          </w:p>
        </w:tc>
        <w:tc>
          <w:tcPr>
            <w:tcW w:type="dxa" w:w="3408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0.72234</w:t>
            </w:r>
          </w:p>
        </w:tc>
      </w:tr>
      <w:tr>
        <w:tc>
          <w:tcPr>
            <w:tcW w:type="dxa" w:w="3408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CD8T</w:t>
            </w:r>
          </w:p>
        </w:tc>
        <w:tc>
          <w:tcPr>
            <w:tcW w:type="dxa" w:w="3408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0.75203</w:t>
            </w:r>
          </w:p>
        </w:tc>
        <w:tc>
          <w:tcPr>
            <w:tcW w:type="dxa" w:w="3408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0.96051</w:t>
            </w:r>
          </w:p>
        </w:tc>
      </w:tr>
    </w:tbl>
    <w:p>
      <w:pPr>
        <w:spacing w:after="80" w:line="264" w:lineRule="auto"/>
      </w:pPr>
      <w:r>
        <w:rPr>
          <w:rFonts w:ascii="Arial" w:hAnsi="Arial"/>
          <w:b w:val="0"/>
          <w:i w:val="0"/>
          <w:sz w:val="6"/>
        </w:rPr>
      </w:r>
    </w:p>
    <w:p>
      <w:pPr>
        <w:spacing w:after="80" w:line="264" w:lineRule="auto"/>
      </w:pPr>
      <w:r>
        <w:rPr>
          <w:rFonts w:ascii="Arial" w:hAnsi="Arial"/>
          <w:b/>
          <w:i w:val="0"/>
          <w:sz w:val="18"/>
        </w:rPr>
        <w:t>Supplementary Table S4. Mouse-model group summaries. Values are mean +/- SD; Holm-adjusted P values compare each treatment with anti-IgG within outcome family. CD8 and FoxP3 are workbook scores, not cells/HPF; the score definition is not available in the retained source.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</w:tcPr>
          <w:p>
            <w:r>
              <w:rPr>
                <w:rFonts w:ascii="Arial" w:hAnsi="Arial"/>
                <w:b/>
                <w:i w:val="0"/>
                <w:sz w:val="16"/>
              </w:rPr>
              <w:t>Outcome</w:t>
            </w:r>
          </w:p>
        </w:tc>
        <w:tc>
          <w:tcPr>
            <w:tcW w:type="dxa" w:w="2556"/>
          </w:tcPr>
          <w:p>
            <w:r>
              <w:rPr>
                <w:rFonts w:ascii="Arial" w:hAnsi="Arial"/>
                <w:b/>
                <w:i w:val="0"/>
                <w:sz w:val="16"/>
              </w:rPr>
              <w:t>Group</w:t>
            </w:r>
          </w:p>
        </w:tc>
        <w:tc>
          <w:tcPr>
            <w:tcW w:type="dxa" w:w="2556"/>
          </w:tcPr>
          <w:p>
            <w:r>
              <w:rPr>
                <w:rFonts w:ascii="Arial" w:hAnsi="Arial"/>
                <w:b/>
                <w:i w:val="0"/>
                <w:sz w:val="16"/>
              </w:rPr>
              <w:t>Mean +/- SD</w:t>
            </w:r>
          </w:p>
        </w:tc>
        <w:tc>
          <w:tcPr>
            <w:tcW w:type="dxa" w:w="2556"/>
          </w:tcPr>
          <w:p>
            <w:r>
              <w:rPr>
                <w:rFonts w:ascii="Arial" w:hAnsi="Arial"/>
                <w:b/>
                <w:i w:val="0"/>
                <w:sz w:val="16"/>
              </w:rPr>
              <w:t>Holm-adjusted P</w:t>
            </w:r>
          </w:p>
        </w:tc>
      </w:tr>
      <w:tr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Tumor weight (g)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anti-CTLA4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0.286 +/- 0.041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9.81e-07</w:t>
            </w:r>
          </w:p>
        </w:tc>
      </w:tr>
      <w:tr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Tumor weight (g)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anti-IgG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0.770 +/- 0.068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Reference</w:t>
            </w:r>
          </w:p>
        </w:tc>
      </w:tr>
      <w:tr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Tumor weight (g)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anti-LAG3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0.268 +/- 0.030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1.75e-06</w:t>
            </w:r>
          </w:p>
        </w:tc>
      </w:tr>
      <w:tr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Tumor weight (g)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anti-TIGIT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0.541 +/- 0.147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0.0104</w:t>
            </w:r>
          </w:p>
        </w:tc>
      </w:tr>
      <w:tr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Day-21 tumor volume (mm3)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anti-CTLA4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267.870 +/- 32.456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4.44e-06</w:t>
            </w:r>
          </w:p>
        </w:tc>
      </w:tr>
      <w:tr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Day-21 tumor volume (mm3)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anti-IgG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866.358 +/- 83.170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Reference</w:t>
            </w:r>
          </w:p>
        </w:tc>
      </w:tr>
      <w:tr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Day-21 tumor volume (mm3)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anti-LAG3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240.948 +/- 30.402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4.44e-06</w:t>
            </w:r>
          </w:p>
        </w:tc>
      </w:tr>
      <w:tr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Day-21 tumor volume (mm3)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anti-TIGIT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446.435 +/- 80.055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4.57e-06</w:t>
            </w:r>
          </w:p>
        </w:tc>
      </w:tr>
      <w:tr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CD8 score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anti-CTLA4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0.423 +/- 0.119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1.5e-09</w:t>
            </w:r>
          </w:p>
        </w:tc>
      </w:tr>
      <w:tr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CD8 score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anti-IgG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2.642 +/- 0.163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Reference</w:t>
            </w:r>
          </w:p>
        </w:tc>
      </w:tr>
      <w:tr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CD8 score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anti-LAG3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0.217 +/- 0.100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1.5e-09</w:t>
            </w:r>
          </w:p>
        </w:tc>
      </w:tr>
      <w:tr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CD8 score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anti-TIGIT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1.961 +/- 0.184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5.12e-05</w:t>
            </w:r>
          </w:p>
        </w:tc>
      </w:tr>
      <w:tr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FoxP3 score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anti-CTLA4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0.564 +/- 0.238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6.1e-08</w:t>
            </w:r>
          </w:p>
        </w:tc>
      </w:tr>
      <w:tr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FoxP3 score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anti-IgG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2.671 +/- 0.215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Reference</w:t>
            </w:r>
          </w:p>
        </w:tc>
      </w:tr>
      <w:tr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FoxP3 score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anti-LAG3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0.277 +/- 0.080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2.4e-07</w:t>
            </w:r>
          </w:p>
        </w:tc>
      </w:tr>
      <w:tr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FoxP3 score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anti-TIGIT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1.127 +/- 0.109</w:t>
            </w:r>
          </w:p>
        </w:tc>
        <w:tc>
          <w:tcPr>
            <w:tcW w:type="dxa" w:w="2556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6"/>
              </w:rPr>
              <w:t>5.76e-07</w:t>
            </w:r>
          </w:p>
        </w:tc>
      </w:tr>
    </w:tbl>
    <w:p>
      <w:pPr>
        <w:spacing w:after="80" w:line="264" w:lineRule="auto"/>
      </w:pPr>
      <w:r>
        <w:rPr>
          <w:rFonts w:ascii="Arial" w:hAnsi="Arial"/>
          <w:b w:val="0"/>
          <w:i w:val="0"/>
          <w:sz w:val="6"/>
        </w:rPr>
      </w:r>
    </w:p>
    <w:p>
      <w:pPr>
        <w:spacing w:after="80" w:line="264" w:lineRule="auto"/>
      </w:pPr>
      <w:r>
        <w:rPr>
          <w:rFonts w:ascii="Arial" w:hAnsi="Arial"/>
          <w:b/>
          <w:i w:val="0"/>
          <w:sz w:val="18"/>
        </w:rPr>
        <w:t>Supplementary Data 1. The unmodified workbook OSCC_mouse_model_data.xlsx contains the retained mouse-level and field-level source data used for Supplementary Table S4 and Figure 5.</w:t>
      </w:r>
    </w:p>
    <w:p>
      <w:r>
        <w:br w:type="page"/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486400" cy="232648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S1_OSF_exploratory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2648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64" w:lineRule="auto"/>
        <w:jc w:val="center"/>
      </w:pPr>
      <w:r>
        <w:rPr>
          <w:rFonts w:ascii="Arial" w:hAnsi="Arial"/>
          <w:b w:val="0"/>
          <w:i/>
          <w:sz w:val="16"/>
        </w:rPr>
        <w:t>Figure S1. OSF exploratory differential expression analysis (excluded from main results). (A) Volcano plot of OSF DEG results. The logFC scale is not on log₂ and therefore cannot be interpreted as fold-change; these data were excluded pending expression-scale reprocessing. (B) Overlap between OSF and OSCC DEGs identified under the original unvalidated thresholds (|FC| &gt; 1, adj.P &lt; 0.05).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486400" cy="307523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S2_individual_animal_data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752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64" w:lineRule="auto"/>
        <w:jc w:val="center"/>
      </w:pPr>
      <w:r>
        <w:rPr>
          <w:rFonts w:ascii="Arial" w:hAnsi="Arial"/>
          <w:b w:val="0"/>
          <w:i/>
          <w:sz w:val="16"/>
        </w:rPr>
        <w:t>Figure S2. Individual animal-level data for checkpoint blockade in the OSCC mouse model (n = 6 per group). (A) Individual tumor growth curves (thin lines) with group means (thick lines). (B) Endpoint tumor weights; individual values and mean ± SD. (C) Body weight trajectories; 'Saline→anti-IgG' denotes the isotype-control group (raw source label: Saline; confirmed study design: anti-IgG). (D–E) Individual IHC field scores (3 fields per mouse, 18 points per group) for CD8 and FoxP3. Score values are from the retained workbook; the scoring definition is not available and values should not be interpreted as cells/HPF.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486400" cy="177700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S3_risk_model_derivation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7700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64" w:lineRule="auto"/>
        <w:jc w:val="center"/>
      </w:pPr>
      <w:r>
        <w:rPr>
          <w:rFonts w:ascii="Arial" w:hAnsi="Arial"/>
          <w:b w:val="0"/>
          <w:i/>
          <w:sz w:val="16"/>
        </w:rPr>
        <w:t>Figure S3. CTLA4-TIGIT two-gene risk model derivation (n = 467 TCGA-HNSC). (A) Final LASSO model coefficients. LAG3 coefficient is zero within numerical precision, confirming the retained model is a two-gene score. (B) Distribution of reconstructed risk scores stratified by original risk group. (C) Per-gene Kaplan-Meier overall survival curves (median split) for TIGIT and CTLA4 individually, showing each gene's univariate prognostic association. The combined CTLA4-TIGIT score (Figure 3) integrates both signals.</w:t>
      </w:r>
    </w:p>
    <w:sectPr w:rsidR="00FC693F" w:rsidRPr="0006063C" w:rsidSect="00034616">
      <w:pgSz w:w="12240" w:h="15840"/>
      <w:pgMar w:top="1152" w:right="1008" w:bottom="115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