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1D9C08" w14:textId="77777777" w:rsidR="001E4038" w:rsidRDefault="001E4038" w:rsidP="001E4038">
      <w:pPr>
        <w:pStyle w:val="Caption"/>
        <w:keepNext/>
        <w:spacing w:line="480" w:lineRule="auto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 xml:space="preserve">. </w:t>
      </w:r>
      <w:r w:rsidRPr="00B96A80">
        <w:t>The characteristics of principles found in the roadmaps</w:t>
      </w:r>
    </w:p>
    <w:tbl>
      <w:tblPr>
        <w:tblStyle w:val="TableGrid"/>
        <w:tblW w:w="8547" w:type="dxa"/>
        <w:jc w:val="center"/>
        <w:tblLayout w:type="fixed"/>
        <w:tblLook w:val="04A0" w:firstRow="1" w:lastRow="0" w:firstColumn="1" w:lastColumn="0" w:noHBand="0" w:noVBand="1"/>
      </w:tblPr>
      <w:tblGrid>
        <w:gridCol w:w="1224"/>
        <w:gridCol w:w="377"/>
        <w:gridCol w:w="398"/>
        <w:gridCol w:w="311"/>
        <w:gridCol w:w="408"/>
        <w:gridCol w:w="442"/>
        <w:gridCol w:w="425"/>
        <w:gridCol w:w="426"/>
        <w:gridCol w:w="425"/>
        <w:gridCol w:w="567"/>
        <w:gridCol w:w="425"/>
        <w:gridCol w:w="425"/>
        <w:gridCol w:w="426"/>
        <w:gridCol w:w="567"/>
        <w:gridCol w:w="425"/>
        <w:gridCol w:w="425"/>
        <w:gridCol w:w="425"/>
        <w:gridCol w:w="426"/>
      </w:tblGrid>
      <w:tr w:rsidR="001E4038" w:rsidRPr="00533859" w14:paraId="3571785D" w14:textId="77777777" w:rsidTr="00340ED6">
        <w:trPr>
          <w:cantSplit/>
          <w:trHeight w:val="1921"/>
          <w:jc w:val="center"/>
        </w:trPr>
        <w:tc>
          <w:tcPr>
            <w:tcW w:w="1224" w:type="dxa"/>
            <w:textDirection w:val="tbRl"/>
            <w:vAlign w:val="center"/>
          </w:tcPr>
          <w:p w14:paraId="3EF7CACE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432C09E4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0B844D7E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6D9D9032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50B1BB8F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4D753E48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25E32820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1687108B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569271D2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4B257083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765A28A7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7BD6916A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71958E5C" w14:textId="77777777" w:rsidR="001E4038" w:rsidRPr="00533859" w:rsidRDefault="001E4038" w:rsidP="00340ED6">
            <w:pPr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principle</w:t>
            </w:r>
          </w:p>
        </w:tc>
        <w:tc>
          <w:tcPr>
            <w:tcW w:w="377" w:type="dxa"/>
            <w:textDirection w:val="tbRl"/>
          </w:tcPr>
          <w:p w14:paraId="11834D32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70AD47"/>
                <w:sz w:val="18"/>
                <w:szCs w:val="18"/>
              </w:rPr>
              <w:t>Ontario</w:t>
            </w:r>
          </w:p>
        </w:tc>
        <w:tc>
          <w:tcPr>
            <w:tcW w:w="398" w:type="dxa"/>
            <w:textDirection w:val="tbRl"/>
          </w:tcPr>
          <w:p w14:paraId="75352EAF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70AD47"/>
                <w:sz w:val="18"/>
                <w:szCs w:val="18"/>
              </w:rPr>
              <w:t>UK</w:t>
            </w:r>
          </w:p>
        </w:tc>
        <w:tc>
          <w:tcPr>
            <w:tcW w:w="311" w:type="dxa"/>
            <w:textDirection w:val="tbRl"/>
          </w:tcPr>
          <w:p w14:paraId="144CE045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70AD47"/>
                <w:sz w:val="18"/>
                <w:szCs w:val="18"/>
              </w:rPr>
              <w:t>Ireland</w:t>
            </w:r>
          </w:p>
        </w:tc>
        <w:tc>
          <w:tcPr>
            <w:tcW w:w="408" w:type="dxa"/>
            <w:textDirection w:val="tbRl"/>
          </w:tcPr>
          <w:p w14:paraId="644471BC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70AD47"/>
                <w:sz w:val="18"/>
                <w:szCs w:val="18"/>
              </w:rPr>
              <w:t>Shasta county</w:t>
            </w:r>
          </w:p>
        </w:tc>
        <w:tc>
          <w:tcPr>
            <w:tcW w:w="442" w:type="dxa"/>
            <w:textDirection w:val="tbRl"/>
          </w:tcPr>
          <w:p w14:paraId="30CC1BC1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70AD47"/>
                <w:sz w:val="18"/>
                <w:szCs w:val="18"/>
              </w:rPr>
              <w:t>Connecticut</w:t>
            </w:r>
          </w:p>
        </w:tc>
        <w:tc>
          <w:tcPr>
            <w:tcW w:w="425" w:type="dxa"/>
            <w:textDirection w:val="tbRl"/>
          </w:tcPr>
          <w:p w14:paraId="21518884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E3B09">
              <w:rPr>
                <w:rFonts w:ascii="Times New Roman" w:eastAsia="Calibri" w:hAnsi="Times New Roman" w:cs="Times New Roman"/>
                <w:color w:val="70AD47" w:themeColor="accent6"/>
                <w:sz w:val="18"/>
                <w:szCs w:val="18"/>
              </w:rPr>
              <w:t xml:space="preserve">European </w:t>
            </w:r>
            <w:r>
              <w:rPr>
                <w:rFonts w:ascii="Times New Roman" w:eastAsia="Calibri" w:hAnsi="Times New Roman" w:cs="Times New Roman"/>
                <w:color w:val="70AD47" w:themeColor="accent6"/>
                <w:sz w:val="18"/>
                <w:szCs w:val="18"/>
              </w:rPr>
              <w:t>Council</w:t>
            </w:r>
          </w:p>
        </w:tc>
        <w:tc>
          <w:tcPr>
            <w:tcW w:w="426" w:type="dxa"/>
            <w:textDirection w:val="tbRl"/>
          </w:tcPr>
          <w:p w14:paraId="4FEEFBC8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color w:val="FFC000"/>
                <w:sz w:val="18"/>
                <w:szCs w:val="18"/>
              </w:rPr>
            </w:pPr>
            <w:r w:rsidRPr="003B4354">
              <w:rPr>
                <w:rFonts w:ascii="Times New Roman" w:eastAsia="Calibri" w:hAnsi="Times New Roman" w:cs="Times New Roman"/>
                <w:color w:val="70AD47" w:themeColor="accent6"/>
                <w:sz w:val="18"/>
                <w:szCs w:val="18"/>
              </w:rPr>
              <w:t>Nevada</w:t>
            </w:r>
          </w:p>
        </w:tc>
        <w:tc>
          <w:tcPr>
            <w:tcW w:w="425" w:type="dxa"/>
            <w:textDirection w:val="tbRl"/>
          </w:tcPr>
          <w:p w14:paraId="1E3DFA9B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FFC000"/>
                <w:sz w:val="18"/>
                <w:szCs w:val="18"/>
              </w:rPr>
              <w:t>Massachusetts</w:t>
            </w:r>
          </w:p>
        </w:tc>
        <w:tc>
          <w:tcPr>
            <w:tcW w:w="567" w:type="dxa"/>
            <w:textDirection w:val="tbRl"/>
          </w:tcPr>
          <w:p w14:paraId="4AC3C2B5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bookmarkStart w:id="0" w:name="OLE_LINK1"/>
            <w:bookmarkStart w:id="1" w:name="OLE_LINK2"/>
            <w:proofErr w:type="gramStart"/>
            <w:r w:rsidRPr="00533859">
              <w:rPr>
                <w:rFonts w:ascii="Times New Roman" w:eastAsia="Calibri" w:hAnsi="Times New Roman" w:cs="Times New Roman"/>
                <w:color w:val="FFC000"/>
                <w:sz w:val="18"/>
                <w:szCs w:val="18"/>
              </w:rPr>
              <w:t>Open up</w:t>
            </w:r>
            <w:proofErr w:type="gramEnd"/>
            <w:r w:rsidRPr="00533859">
              <w:rPr>
                <w:rFonts w:ascii="Times New Roman" w:eastAsia="Calibri" w:hAnsi="Times New Roman" w:cs="Times New Roman"/>
                <w:color w:val="FFC000"/>
                <w:sz w:val="18"/>
                <w:szCs w:val="18"/>
              </w:rPr>
              <w:t xml:space="preserve"> America again</w:t>
            </w:r>
            <w:bookmarkEnd w:id="0"/>
            <w:bookmarkEnd w:id="1"/>
          </w:p>
        </w:tc>
        <w:tc>
          <w:tcPr>
            <w:tcW w:w="425" w:type="dxa"/>
            <w:textDirection w:val="tbRl"/>
          </w:tcPr>
          <w:p w14:paraId="53116EA6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FFC000"/>
                <w:sz w:val="18"/>
                <w:szCs w:val="18"/>
              </w:rPr>
              <w:t>California</w:t>
            </w:r>
          </w:p>
        </w:tc>
        <w:tc>
          <w:tcPr>
            <w:tcW w:w="425" w:type="dxa"/>
            <w:textDirection w:val="tbRl"/>
          </w:tcPr>
          <w:p w14:paraId="5ECEA86D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FFC000"/>
                <w:sz w:val="18"/>
                <w:szCs w:val="18"/>
              </w:rPr>
              <w:t>Indiana</w:t>
            </w:r>
          </w:p>
        </w:tc>
        <w:tc>
          <w:tcPr>
            <w:tcW w:w="426" w:type="dxa"/>
            <w:textDirection w:val="tbRl"/>
          </w:tcPr>
          <w:p w14:paraId="39203A6F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FFC000"/>
                <w:sz w:val="18"/>
                <w:szCs w:val="18"/>
              </w:rPr>
              <w:t>Nashville</w:t>
            </w:r>
          </w:p>
        </w:tc>
        <w:tc>
          <w:tcPr>
            <w:tcW w:w="567" w:type="dxa"/>
            <w:textDirection w:val="tbRl"/>
          </w:tcPr>
          <w:p w14:paraId="246E9030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  <w:t>America Enterprise Institute</w:t>
            </w:r>
          </w:p>
        </w:tc>
        <w:tc>
          <w:tcPr>
            <w:tcW w:w="425" w:type="dxa"/>
            <w:textDirection w:val="tbRl"/>
          </w:tcPr>
          <w:p w14:paraId="409E4F70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  <w:t>Queen</w:t>
            </w:r>
            <w:r w:rsidRPr="00533859"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  <w:t>s land</w:t>
            </w:r>
          </w:p>
        </w:tc>
        <w:tc>
          <w:tcPr>
            <w:tcW w:w="425" w:type="dxa"/>
            <w:textDirection w:val="tbRl"/>
          </w:tcPr>
          <w:p w14:paraId="145A58E7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  <w:t>Western Australia</w:t>
            </w:r>
          </w:p>
        </w:tc>
        <w:tc>
          <w:tcPr>
            <w:tcW w:w="425" w:type="dxa"/>
            <w:textDirection w:val="tbRl"/>
          </w:tcPr>
          <w:p w14:paraId="691147E5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  <w:t>Anchorage</w:t>
            </w:r>
          </w:p>
        </w:tc>
        <w:tc>
          <w:tcPr>
            <w:tcW w:w="426" w:type="dxa"/>
            <w:textDirection w:val="tbRl"/>
          </w:tcPr>
          <w:p w14:paraId="56FFFBF3" w14:textId="77777777" w:rsidR="001E4038" w:rsidRPr="00533859" w:rsidRDefault="001E4038" w:rsidP="00340ED6">
            <w:pPr>
              <w:spacing w:line="480" w:lineRule="auto"/>
              <w:ind w:left="113" w:right="113"/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</w:pPr>
            <w:r w:rsidRPr="00323A8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Total </w:t>
            </w:r>
          </w:p>
        </w:tc>
      </w:tr>
      <w:tr w:rsidR="001E4038" w:rsidRPr="00533859" w14:paraId="5A306D49" w14:textId="77777777" w:rsidTr="00340ED6">
        <w:trPr>
          <w:trHeight w:val="255"/>
          <w:jc w:val="center"/>
        </w:trPr>
        <w:tc>
          <w:tcPr>
            <w:tcW w:w="1224" w:type="dxa"/>
          </w:tcPr>
          <w:p w14:paraId="5D234E8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Increase testing capacity</w:t>
            </w:r>
          </w:p>
        </w:tc>
        <w:tc>
          <w:tcPr>
            <w:tcW w:w="377" w:type="dxa"/>
          </w:tcPr>
          <w:p w14:paraId="2E8809C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33EBD96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79FF400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5047DB3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6FB230F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0E297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45A504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C7035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67" w:type="dxa"/>
          </w:tcPr>
          <w:p w14:paraId="58D8265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442D4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0D8ABE5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6" w:type="dxa"/>
          </w:tcPr>
          <w:p w14:paraId="1EB3C6B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 w:hint="cs"/>
                <w:sz w:val="18"/>
                <w:szCs w:val="18"/>
                <w:rtl/>
              </w:rPr>
              <w:t>+</w:t>
            </w:r>
          </w:p>
        </w:tc>
        <w:tc>
          <w:tcPr>
            <w:tcW w:w="567" w:type="dxa"/>
          </w:tcPr>
          <w:p w14:paraId="71DB81D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D12199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A6D482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D7672F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424287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1E4038" w:rsidRPr="00533859" w14:paraId="5CD83FDF" w14:textId="77777777" w:rsidTr="00340ED6">
        <w:trPr>
          <w:trHeight w:val="255"/>
          <w:jc w:val="center"/>
        </w:trPr>
        <w:tc>
          <w:tcPr>
            <w:tcW w:w="1224" w:type="dxa"/>
          </w:tcPr>
          <w:p w14:paraId="0EDD7B7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Contact Tracing</w:t>
            </w:r>
          </w:p>
        </w:tc>
        <w:tc>
          <w:tcPr>
            <w:tcW w:w="377" w:type="dxa"/>
          </w:tcPr>
          <w:p w14:paraId="61D7287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1637ACE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70F0EDA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65DB559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2A70A92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F150DD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C0A31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A3D3C6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67" w:type="dxa"/>
          </w:tcPr>
          <w:p w14:paraId="4A42810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45D967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4561CBF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6" w:type="dxa"/>
          </w:tcPr>
          <w:p w14:paraId="53DA84E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 w:hint="cs"/>
                <w:sz w:val="18"/>
                <w:szCs w:val="18"/>
                <w:rtl/>
              </w:rPr>
              <w:t>+</w:t>
            </w:r>
          </w:p>
        </w:tc>
        <w:tc>
          <w:tcPr>
            <w:tcW w:w="567" w:type="dxa"/>
          </w:tcPr>
          <w:p w14:paraId="0129079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14900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5E75A6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8312C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A74C5E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1E4038" w:rsidRPr="00533859" w14:paraId="484B9029" w14:textId="77777777" w:rsidTr="00340ED6">
        <w:trPr>
          <w:trHeight w:val="255"/>
          <w:jc w:val="center"/>
        </w:trPr>
        <w:tc>
          <w:tcPr>
            <w:tcW w:w="1224" w:type="dxa"/>
          </w:tcPr>
          <w:p w14:paraId="6F1746D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Isolation</w:t>
            </w:r>
          </w:p>
        </w:tc>
        <w:tc>
          <w:tcPr>
            <w:tcW w:w="377" w:type="dxa"/>
          </w:tcPr>
          <w:p w14:paraId="6B06B25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7AF407C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7EDB06E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33A3B86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2AE56EE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DD667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EAFEFE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E93CF4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67" w:type="dxa"/>
          </w:tcPr>
          <w:p w14:paraId="1784C16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AFB31C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71B1781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058A0D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 w:hint="cs"/>
                <w:sz w:val="18"/>
                <w:szCs w:val="18"/>
                <w:rtl/>
              </w:rPr>
              <w:t>+</w:t>
            </w:r>
          </w:p>
        </w:tc>
        <w:tc>
          <w:tcPr>
            <w:tcW w:w="567" w:type="dxa"/>
          </w:tcPr>
          <w:p w14:paraId="231EF81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620C66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691A4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52268D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41DDA4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</w:tr>
      <w:tr w:rsidR="001E4038" w:rsidRPr="00533859" w14:paraId="4F53B51A" w14:textId="77777777" w:rsidTr="00340ED6">
        <w:trPr>
          <w:trHeight w:val="255"/>
          <w:jc w:val="center"/>
        </w:trPr>
        <w:tc>
          <w:tcPr>
            <w:tcW w:w="1224" w:type="dxa"/>
          </w:tcPr>
          <w:p w14:paraId="15E661D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gramStart"/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Responsibility  of</w:t>
            </w:r>
            <w:proofErr w:type="gramEnd"/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the state </w:t>
            </w:r>
          </w:p>
        </w:tc>
        <w:tc>
          <w:tcPr>
            <w:tcW w:w="377" w:type="dxa"/>
          </w:tcPr>
          <w:p w14:paraId="424452F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98" w:type="dxa"/>
          </w:tcPr>
          <w:p w14:paraId="5230A49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2F2788F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1ABEC14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23098E3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0A0DFF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6BDE63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35CF1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5713D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4A1725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0ABDC1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26C3C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30B0C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FBCC0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CF897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D9F21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2298EA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  <w:tr w:rsidR="001E4038" w:rsidRPr="00533859" w14:paraId="693ECFD3" w14:textId="77777777" w:rsidTr="00340ED6">
        <w:trPr>
          <w:trHeight w:val="246"/>
          <w:jc w:val="center"/>
        </w:trPr>
        <w:tc>
          <w:tcPr>
            <w:tcW w:w="1224" w:type="dxa"/>
          </w:tcPr>
          <w:p w14:paraId="5957850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Evidence-informed decision making </w:t>
            </w:r>
          </w:p>
        </w:tc>
        <w:tc>
          <w:tcPr>
            <w:tcW w:w="377" w:type="dxa"/>
          </w:tcPr>
          <w:p w14:paraId="0D965A0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98" w:type="dxa"/>
          </w:tcPr>
          <w:p w14:paraId="5C093A4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11" w:type="dxa"/>
          </w:tcPr>
          <w:p w14:paraId="690E81C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6C96698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615BCBB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19A2292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6" w:type="dxa"/>
          </w:tcPr>
          <w:p w14:paraId="7D12A86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FD4017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49F28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EAD26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996A8B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3D237A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AE326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FD145E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A72B11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01805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DA5B5D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1E4038" w:rsidRPr="00533859" w14:paraId="0FB02131" w14:textId="77777777" w:rsidTr="00340ED6">
        <w:trPr>
          <w:trHeight w:val="255"/>
          <w:jc w:val="center"/>
        </w:trPr>
        <w:tc>
          <w:tcPr>
            <w:tcW w:w="1224" w:type="dxa"/>
          </w:tcPr>
          <w:p w14:paraId="29B7CB1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Increase health-related resources</w:t>
            </w:r>
          </w:p>
        </w:tc>
        <w:tc>
          <w:tcPr>
            <w:tcW w:w="377" w:type="dxa"/>
          </w:tcPr>
          <w:p w14:paraId="0AF7DBE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98" w:type="dxa"/>
          </w:tcPr>
          <w:p w14:paraId="61BAC6A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55643AA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012A084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448C8B2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5EC3E8B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CC439C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EE8899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F23B1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D1E32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2B0359E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A9CE8D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9DEFA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5FFA83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E4476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F95027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28BFE8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</w:tr>
      <w:tr w:rsidR="001E4038" w:rsidRPr="00533859" w14:paraId="0E85B6B0" w14:textId="77777777" w:rsidTr="00340ED6">
        <w:trPr>
          <w:trHeight w:val="255"/>
          <w:jc w:val="center"/>
        </w:trPr>
        <w:tc>
          <w:tcPr>
            <w:tcW w:w="1224" w:type="dxa"/>
          </w:tcPr>
          <w:p w14:paraId="72F6055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Acting quickly and effectively </w:t>
            </w:r>
          </w:p>
        </w:tc>
        <w:tc>
          <w:tcPr>
            <w:tcW w:w="377" w:type="dxa"/>
          </w:tcPr>
          <w:p w14:paraId="6338428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98" w:type="dxa"/>
          </w:tcPr>
          <w:p w14:paraId="005C55F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715A84F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38AB3C2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1C2FF00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618DF9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345840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E7165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504BD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B79465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68CB1B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E8B0DE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A12EE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D90778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A4677A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C69BE1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AEC34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  <w:tr w:rsidR="001E4038" w:rsidRPr="00533859" w14:paraId="0D945EE2" w14:textId="77777777" w:rsidTr="00340ED6">
        <w:trPr>
          <w:trHeight w:val="255"/>
          <w:jc w:val="center"/>
        </w:trPr>
        <w:tc>
          <w:tcPr>
            <w:tcW w:w="1224" w:type="dxa"/>
          </w:tcPr>
          <w:p w14:paraId="3ABE2D2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Monitoring the implementation </w:t>
            </w:r>
          </w:p>
        </w:tc>
        <w:tc>
          <w:tcPr>
            <w:tcW w:w="377" w:type="dxa"/>
          </w:tcPr>
          <w:p w14:paraId="2CD6A88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98" w:type="dxa"/>
          </w:tcPr>
          <w:p w14:paraId="420D075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08DF271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73EC583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42" w:type="dxa"/>
          </w:tcPr>
          <w:p w14:paraId="4D00A67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CFF32D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54F505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ECA878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BD2E8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6AF335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A511D7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4E54DE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EA7CA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DBD9F9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EA013C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24CFA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3E2EC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</w:tr>
      <w:tr w:rsidR="001E4038" w:rsidRPr="00533859" w14:paraId="54651894" w14:textId="77777777" w:rsidTr="00340ED6">
        <w:trPr>
          <w:trHeight w:val="255"/>
          <w:jc w:val="center"/>
        </w:trPr>
        <w:tc>
          <w:tcPr>
            <w:tcW w:w="1224" w:type="dxa"/>
          </w:tcPr>
          <w:p w14:paraId="1008C37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 xml:space="preserve">Being clear and transparency </w:t>
            </w:r>
          </w:p>
        </w:tc>
        <w:tc>
          <w:tcPr>
            <w:tcW w:w="377" w:type="dxa"/>
          </w:tcPr>
          <w:p w14:paraId="3B4085E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98" w:type="dxa"/>
          </w:tcPr>
          <w:p w14:paraId="355CB8B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11" w:type="dxa"/>
          </w:tcPr>
          <w:p w14:paraId="412641B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08" w:type="dxa"/>
          </w:tcPr>
          <w:p w14:paraId="73B47E3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6E5A272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39C8E5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80D2F4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CDB1C1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D2919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29821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70739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9101DE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583F4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7F384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99F580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100187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BB89CD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</w:tr>
      <w:tr w:rsidR="001E4038" w:rsidRPr="00533859" w14:paraId="093FE6FE" w14:textId="77777777" w:rsidTr="00340ED6">
        <w:trPr>
          <w:trHeight w:val="255"/>
          <w:jc w:val="center"/>
        </w:trPr>
        <w:tc>
          <w:tcPr>
            <w:tcW w:w="1224" w:type="dxa"/>
          </w:tcPr>
          <w:p w14:paraId="456CBC0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Flexibility and adaptability </w:t>
            </w:r>
          </w:p>
        </w:tc>
        <w:tc>
          <w:tcPr>
            <w:tcW w:w="377" w:type="dxa"/>
          </w:tcPr>
          <w:p w14:paraId="7775752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98" w:type="dxa"/>
          </w:tcPr>
          <w:p w14:paraId="701D91D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397007F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19EE977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7135E9C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55611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79757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789BF0C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70017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0F60F7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BC607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7CE527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3F25E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9EEED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3E27C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588784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F7AE8C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</w:tr>
      <w:tr w:rsidR="001E4038" w:rsidRPr="00533859" w14:paraId="554B06F0" w14:textId="77777777" w:rsidTr="00340ED6">
        <w:trPr>
          <w:trHeight w:val="255"/>
          <w:jc w:val="center"/>
        </w:trPr>
        <w:tc>
          <w:tcPr>
            <w:tcW w:w="1224" w:type="dxa"/>
          </w:tcPr>
          <w:p w14:paraId="738D5E8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Fairness and equity </w:t>
            </w:r>
          </w:p>
          <w:p w14:paraId="11718E4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7" w:type="dxa"/>
          </w:tcPr>
          <w:p w14:paraId="4C6D380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150A46E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11" w:type="dxa"/>
          </w:tcPr>
          <w:p w14:paraId="464E927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08" w:type="dxa"/>
          </w:tcPr>
          <w:p w14:paraId="4F54A4F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7D4935C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CA0E6E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C76DC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4CA81B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DF4C4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7F2BB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5BD148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1C93AF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E8BB6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6925F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E19E1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7B994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4B3EAF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</w:tr>
      <w:tr w:rsidR="001E4038" w:rsidRPr="00533859" w14:paraId="7C07F961" w14:textId="77777777" w:rsidTr="00340ED6">
        <w:trPr>
          <w:trHeight w:val="246"/>
          <w:jc w:val="center"/>
        </w:trPr>
        <w:tc>
          <w:tcPr>
            <w:tcW w:w="1224" w:type="dxa"/>
          </w:tcPr>
          <w:p w14:paraId="3A55F7E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Proportionality and considering the social and economic burdens </w:t>
            </w:r>
          </w:p>
        </w:tc>
        <w:tc>
          <w:tcPr>
            <w:tcW w:w="377" w:type="dxa"/>
          </w:tcPr>
          <w:p w14:paraId="0F146D8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1DB9A8C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68BEB7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11" w:type="dxa"/>
          </w:tcPr>
          <w:p w14:paraId="70D5685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6115E6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08" w:type="dxa"/>
          </w:tcPr>
          <w:p w14:paraId="235E515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7462F62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</w:p>
          <w:p w14:paraId="138A32E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37D0723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2BA395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37840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D0887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10E0A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86435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</w:p>
          <w:p w14:paraId="7FD1A1E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 w:hint="cs"/>
                <w:sz w:val="18"/>
                <w:szCs w:val="18"/>
                <w:rtl/>
              </w:rPr>
              <w:t>+</w:t>
            </w:r>
          </w:p>
        </w:tc>
        <w:tc>
          <w:tcPr>
            <w:tcW w:w="426" w:type="dxa"/>
          </w:tcPr>
          <w:p w14:paraId="283C807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1950F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42DCC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21BC29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04D29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A103D2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1E4038" w:rsidRPr="00533859" w14:paraId="430CD0CA" w14:textId="77777777" w:rsidTr="00340ED6">
        <w:trPr>
          <w:trHeight w:val="255"/>
          <w:jc w:val="center"/>
        </w:trPr>
        <w:tc>
          <w:tcPr>
            <w:tcW w:w="1224" w:type="dxa"/>
          </w:tcPr>
          <w:p w14:paraId="58F6FF1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Privacy and confidentiality </w:t>
            </w:r>
          </w:p>
        </w:tc>
        <w:tc>
          <w:tcPr>
            <w:tcW w:w="377" w:type="dxa"/>
          </w:tcPr>
          <w:p w14:paraId="16A5E59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7564799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11" w:type="dxa"/>
          </w:tcPr>
          <w:p w14:paraId="2A9A4DA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7CA1125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4A49B9A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963DC9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711502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E3E0D0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871D0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371CB6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F94B57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7024C8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3FB18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C89C4D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50FBD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9DA467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CF0C0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  <w:tr w:rsidR="001E4038" w:rsidRPr="00533859" w14:paraId="01D1B557" w14:textId="77777777" w:rsidTr="00340ED6">
        <w:trPr>
          <w:trHeight w:val="255"/>
          <w:jc w:val="center"/>
        </w:trPr>
        <w:tc>
          <w:tcPr>
            <w:tcW w:w="1224" w:type="dxa"/>
          </w:tcPr>
          <w:p w14:paraId="5DB2BF5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the public health assessment of risk is considered very important in any decision (safety)</w:t>
            </w:r>
          </w:p>
        </w:tc>
        <w:tc>
          <w:tcPr>
            <w:tcW w:w="377" w:type="dxa"/>
          </w:tcPr>
          <w:p w14:paraId="2D62F39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4827241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20A18B4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08" w:type="dxa"/>
          </w:tcPr>
          <w:p w14:paraId="706A2B9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341639A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AED61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6" w:type="dxa"/>
          </w:tcPr>
          <w:p w14:paraId="75583E6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55F77B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7FC60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DBBBC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BF899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90E974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CEAA2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66283D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C67C74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454231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AD3FE5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</w:tr>
      <w:tr w:rsidR="001E4038" w:rsidRPr="00533859" w14:paraId="3D5672BE" w14:textId="77777777" w:rsidTr="00340ED6">
        <w:trPr>
          <w:trHeight w:val="255"/>
          <w:jc w:val="center"/>
        </w:trPr>
        <w:tc>
          <w:tcPr>
            <w:tcW w:w="1224" w:type="dxa"/>
          </w:tcPr>
          <w:p w14:paraId="65267AA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Enhance the solidarity and cohesion </w:t>
            </w: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 xml:space="preserve">within the society </w:t>
            </w:r>
          </w:p>
        </w:tc>
        <w:tc>
          <w:tcPr>
            <w:tcW w:w="377" w:type="dxa"/>
          </w:tcPr>
          <w:p w14:paraId="103B834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56271C6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357928F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08" w:type="dxa"/>
          </w:tcPr>
          <w:p w14:paraId="0425FA4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4000430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17277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6" w:type="dxa"/>
          </w:tcPr>
          <w:p w14:paraId="445229F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F1FEC5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BAFE7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C0861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AE564B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D56AA0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C4F89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F81F8C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830983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B4B8F3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CC2196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</w:tr>
      <w:tr w:rsidR="001E4038" w:rsidRPr="00533859" w14:paraId="340319D1" w14:textId="77777777" w:rsidTr="00340ED6">
        <w:trPr>
          <w:trHeight w:val="255"/>
          <w:jc w:val="center"/>
        </w:trPr>
        <w:tc>
          <w:tcPr>
            <w:tcW w:w="1224" w:type="dxa"/>
          </w:tcPr>
          <w:p w14:paraId="387CBE8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Protecting the most vulnerable </w:t>
            </w:r>
          </w:p>
        </w:tc>
        <w:tc>
          <w:tcPr>
            <w:tcW w:w="377" w:type="dxa"/>
          </w:tcPr>
          <w:p w14:paraId="24A5791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7B2418F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32DF786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4219EC6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42" w:type="dxa"/>
          </w:tcPr>
          <w:p w14:paraId="778E994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349B610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7E55B5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44ED519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5F46B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6529FF2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172D647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 w:hint="cs"/>
                <w:sz w:val="18"/>
                <w:szCs w:val="18"/>
                <w:rtl/>
              </w:rPr>
              <w:t>+</w:t>
            </w:r>
          </w:p>
        </w:tc>
        <w:tc>
          <w:tcPr>
            <w:tcW w:w="426" w:type="dxa"/>
          </w:tcPr>
          <w:p w14:paraId="4374DE8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8A006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3EC9C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CEFD0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0CCEDE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0D0596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1E4038" w:rsidRPr="00533859" w14:paraId="21376E86" w14:textId="77777777" w:rsidTr="00340ED6">
        <w:trPr>
          <w:trHeight w:val="255"/>
          <w:jc w:val="center"/>
        </w:trPr>
        <w:tc>
          <w:tcPr>
            <w:tcW w:w="1224" w:type="dxa"/>
          </w:tcPr>
          <w:p w14:paraId="7602266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Acting locally, countywide, </w:t>
            </w:r>
            <w:proofErr w:type="gramStart"/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statewide</w:t>
            </w:r>
            <w:proofErr w:type="gramEnd"/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or countrywide </w:t>
            </w:r>
          </w:p>
        </w:tc>
        <w:tc>
          <w:tcPr>
            <w:tcW w:w="377" w:type="dxa"/>
          </w:tcPr>
          <w:p w14:paraId="4B879E6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2CD4816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6F7517C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7A1EBC9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08367BE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D3AF3B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9A4042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343F214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EBAE7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10906AF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F63481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ED1581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2D845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D3A953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7AF47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0217E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65BF79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</w:tr>
      <w:tr w:rsidR="001E4038" w:rsidRPr="00533859" w14:paraId="325197AD" w14:textId="77777777" w:rsidTr="00340ED6">
        <w:trPr>
          <w:trHeight w:val="246"/>
          <w:jc w:val="center"/>
        </w:trPr>
        <w:tc>
          <w:tcPr>
            <w:tcW w:w="1224" w:type="dxa"/>
          </w:tcPr>
          <w:p w14:paraId="6697C36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The decrease in the resurgence risk </w:t>
            </w:r>
          </w:p>
        </w:tc>
        <w:tc>
          <w:tcPr>
            <w:tcW w:w="377" w:type="dxa"/>
          </w:tcPr>
          <w:p w14:paraId="67300D2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397556A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6589209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58B3892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7AA2AB7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4D99A4F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A5A676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93CD14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36416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3576E7E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DAA5AB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B66C5E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C2AA8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713AEE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92A2C9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1FE423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23E7D1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</w:tr>
      <w:tr w:rsidR="001E4038" w:rsidRPr="00533859" w14:paraId="0BF6AA52" w14:textId="77777777" w:rsidTr="00340ED6">
        <w:trPr>
          <w:trHeight w:val="255"/>
          <w:jc w:val="center"/>
        </w:trPr>
        <w:tc>
          <w:tcPr>
            <w:tcW w:w="1224" w:type="dxa"/>
          </w:tcPr>
          <w:p w14:paraId="7F3483C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Development of therapeutic options </w:t>
            </w:r>
          </w:p>
        </w:tc>
        <w:tc>
          <w:tcPr>
            <w:tcW w:w="377" w:type="dxa"/>
          </w:tcPr>
          <w:p w14:paraId="1CB0D93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4789DE2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0F1B9F5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31BB753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7F8B83F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6523FD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6731D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DEF8A5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9B6D9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AC8445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1FF1F16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C6E0C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A8E18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8E1696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94D74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13903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8915F0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  <w:tr w:rsidR="001E4038" w:rsidRPr="00533859" w14:paraId="59D87F42" w14:textId="77777777" w:rsidTr="00340ED6">
        <w:trPr>
          <w:trHeight w:val="255"/>
          <w:jc w:val="center"/>
        </w:trPr>
        <w:tc>
          <w:tcPr>
            <w:tcW w:w="1224" w:type="dxa"/>
          </w:tcPr>
          <w:p w14:paraId="10F0B00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Support the preventive measures of physical distancing, especially for crowded places such as schools, markets.</w:t>
            </w:r>
          </w:p>
        </w:tc>
        <w:tc>
          <w:tcPr>
            <w:tcW w:w="377" w:type="dxa"/>
          </w:tcPr>
          <w:p w14:paraId="7C9EDFA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75F5F57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77D67EE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7ACFC91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42" w:type="dxa"/>
          </w:tcPr>
          <w:p w14:paraId="10639CA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87E80C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1F034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28CE4C8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59DF2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D2E9C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755E845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608587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+</w:t>
            </w:r>
          </w:p>
        </w:tc>
        <w:tc>
          <w:tcPr>
            <w:tcW w:w="567" w:type="dxa"/>
          </w:tcPr>
          <w:p w14:paraId="4936E37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9C106F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D3567E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4DF126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CD105C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1E4038" w:rsidRPr="00533859" w14:paraId="07152D24" w14:textId="77777777" w:rsidTr="00340ED6">
        <w:trPr>
          <w:trHeight w:val="255"/>
          <w:jc w:val="center"/>
        </w:trPr>
        <w:tc>
          <w:tcPr>
            <w:tcW w:w="1224" w:type="dxa"/>
          </w:tcPr>
          <w:p w14:paraId="6196F57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Support the economy and consumers and trading</w:t>
            </w:r>
          </w:p>
        </w:tc>
        <w:tc>
          <w:tcPr>
            <w:tcW w:w="377" w:type="dxa"/>
          </w:tcPr>
          <w:p w14:paraId="7754DFE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0E1E87C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444C5FB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4101020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5EB81E8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5879477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FB863B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FD582F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0E661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6F862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D7B55E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F9C15F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426" w:type="dxa"/>
          </w:tcPr>
          <w:p w14:paraId="5202F59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94E53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929773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6D07BB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25D39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132709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</w:tr>
      <w:tr w:rsidR="001E4038" w:rsidRPr="00533859" w14:paraId="53454D91" w14:textId="77777777" w:rsidTr="00340ED6">
        <w:trPr>
          <w:trHeight w:val="255"/>
          <w:jc w:val="center"/>
        </w:trPr>
        <w:tc>
          <w:tcPr>
            <w:tcW w:w="1224" w:type="dxa"/>
          </w:tcPr>
          <w:p w14:paraId="527175F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 xml:space="preserve">Determination of criteria for a step back to an earlier stage </w:t>
            </w:r>
          </w:p>
        </w:tc>
        <w:tc>
          <w:tcPr>
            <w:tcW w:w="377" w:type="dxa"/>
          </w:tcPr>
          <w:p w14:paraId="65C7CA2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3CA22F1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34F5CD7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54D9147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26F3143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65A520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20A83A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6A849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6CD77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F93B95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 w:hint="cs"/>
                <w:sz w:val="18"/>
                <w:szCs w:val="18"/>
                <w:rtl/>
              </w:rPr>
              <w:t>+</w:t>
            </w:r>
          </w:p>
        </w:tc>
        <w:tc>
          <w:tcPr>
            <w:tcW w:w="425" w:type="dxa"/>
          </w:tcPr>
          <w:p w14:paraId="0139294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8F13BE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993956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DD6CA1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413FC1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DBA8F6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1C357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A3AED6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1B2F2A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913766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AB3801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  <w:tr w:rsidR="001E4038" w:rsidRPr="00533859" w14:paraId="00DA681B" w14:textId="77777777" w:rsidTr="00340ED6">
        <w:trPr>
          <w:trHeight w:val="255"/>
          <w:jc w:val="center"/>
        </w:trPr>
        <w:tc>
          <w:tcPr>
            <w:tcW w:w="1224" w:type="dxa"/>
          </w:tcPr>
          <w:p w14:paraId="24BD867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Handling the non-COVID-19 positive cases </w:t>
            </w:r>
          </w:p>
        </w:tc>
        <w:tc>
          <w:tcPr>
            <w:tcW w:w="377" w:type="dxa"/>
          </w:tcPr>
          <w:p w14:paraId="15DC9EC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4BC43BC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4236AC1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4675DEC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32F0570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49468B9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67067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56FC37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A9B97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93BF36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F5779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2FA503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E374B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026A0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AB441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C5F4E1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43A33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  <w:tr w:rsidR="001E4038" w:rsidRPr="00533859" w14:paraId="5EDB60A4" w14:textId="77777777" w:rsidTr="00340ED6">
        <w:trPr>
          <w:trHeight w:val="255"/>
          <w:jc w:val="center"/>
        </w:trPr>
        <w:tc>
          <w:tcPr>
            <w:tcW w:w="1224" w:type="dxa"/>
          </w:tcPr>
          <w:p w14:paraId="55D87A7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Collaboration and coordination with other sectors within the society</w:t>
            </w:r>
          </w:p>
        </w:tc>
        <w:tc>
          <w:tcPr>
            <w:tcW w:w="377" w:type="dxa"/>
          </w:tcPr>
          <w:p w14:paraId="6CDF434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4C25FA5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680221A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34D16D5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615C777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3613B9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4391F9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0E7E0C7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B03F6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7DA2B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D8453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1E2FBD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E3F97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3E610F6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25B04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CE8072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C66627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  <w:tr w:rsidR="001E4038" w:rsidRPr="00533859" w14:paraId="1D1906EC" w14:textId="77777777" w:rsidTr="00340ED6">
        <w:trPr>
          <w:trHeight w:val="255"/>
          <w:jc w:val="center"/>
        </w:trPr>
        <w:tc>
          <w:tcPr>
            <w:tcW w:w="1224" w:type="dxa"/>
          </w:tcPr>
          <w:p w14:paraId="21175A6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Collaboration and co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ordination</w:t>
            </w: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with other countries </w:t>
            </w:r>
          </w:p>
        </w:tc>
        <w:tc>
          <w:tcPr>
            <w:tcW w:w="377" w:type="dxa"/>
          </w:tcPr>
          <w:p w14:paraId="17F31D2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64B2E3F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3DE089C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6A121AE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539E6BE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F9D626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6" w:type="dxa"/>
          </w:tcPr>
          <w:p w14:paraId="53D567E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FF07D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DBB80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302CA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92EC8E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2DE410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716DB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18B5DA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A94846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A8D1E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D89DE1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  <w:tr w:rsidR="001E4038" w:rsidRPr="00533859" w14:paraId="05512A2F" w14:textId="77777777" w:rsidTr="00340ED6">
        <w:trPr>
          <w:trHeight w:val="255"/>
          <w:jc w:val="center"/>
        </w:trPr>
        <w:tc>
          <w:tcPr>
            <w:tcW w:w="1224" w:type="dxa"/>
          </w:tcPr>
          <w:p w14:paraId="642B4FE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>Education of the society to adapt and live with a new normal</w:t>
            </w:r>
          </w:p>
        </w:tc>
        <w:tc>
          <w:tcPr>
            <w:tcW w:w="377" w:type="dxa"/>
          </w:tcPr>
          <w:p w14:paraId="6CA5CF7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301449E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156384E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25ED3F1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19996A2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D8976F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DA5A8B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745424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0D601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72B025B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8062DE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01BF6C0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</w:p>
          <w:p w14:paraId="4BD5D29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338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+</w:t>
            </w:r>
          </w:p>
        </w:tc>
        <w:tc>
          <w:tcPr>
            <w:tcW w:w="567" w:type="dxa"/>
          </w:tcPr>
          <w:p w14:paraId="64FC65C3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1D8C49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3FA3A55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19C9D2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046C06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  <w:tr w:rsidR="001E4038" w:rsidRPr="00533859" w14:paraId="55FAAB0E" w14:textId="77777777" w:rsidTr="00340ED6">
        <w:trPr>
          <w:trHeight w:val="255"/>
          <w:jc w:val="center"/>
        </w:trPr>
        <w:tc>
          <w:tcPr>
            <w:tcW w:w="1224" w:type="dxa"/>
          </w:tcPr>
          <w:p w14:paraId="15CC07F9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Establishing a timeline for recovery</w:t>
            </w:r>
          </w:p>
        </w:tc>
        <w:tc>
          <w:tcPr>
            <w:tcW w:w="377" w:type="dxa"/>
          </w:tcPr>
          <w:p w14:paraId="4F5A8617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</w:tcPr>
          <w:p w14:paraId="5ED707C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" w:type="dxa"/>
          </w:tcPr>
          <w:p w14:paraId="7A516A6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08" w:type="dxa"/>
          </w:tcPr>
          <w:p w14:paraId="206CC658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</w:tcPr>
          <w:p w14:paraId="0801E36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7EB50C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6F46F2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25" w:type="dxa"/>
          </w:tcPr>
          <w:p w14:paraId="7A58937D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1F135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354D2A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9DE215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9B11131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ED6CDF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776B2A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FB186DE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8FBB54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D1266B2" w14:textId="77777777" w:rsidR="001E4038" w:rsidRPr="00533859" w:rsidRDefault="001E4038" w:rsidP="00340ED6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</w:tbl>
    <w:p w14:paraId="0C81239D" w14:textId="77777777" w:rsidR="001E4038" w:rsidRPr="0045493E" w:rsidRDefault="001E4038" w:rsidP="001E4038">
      <w:pPr>
        <w:spacing w:line="480" w:lineRule="auto"/>
        <w:rPr>
          <w:rFonts w:asciiTheme="majorBidi" w:hAnsiTheme="majorBidi" w:cstheme="majorBidi"/>
          <w:sz w:val="16"/>
          <w:szCs w:val="16"/>
          <w:rtl/>
        </w:rPr>
      </w:pPr>
      <w:r>
        <w:rPr>
          <w:rFonts w:asciiTheme="majorBidi" w:hAnsiTheme="majorBidi" w:cstheme="majorBidi"/>
          <w:sz w:val="16"/>
          <w:szCs w:val="16"/>
        </w:rPr>
        <w:t>Seven</w:t>
      </w:r>
      <w:r w:rsidRPr="00DC3EC6">
        <w:rPr>
          <w:rFonts w:asciiTheme="majorBidi" w:hAnsiTheme="majorBidi" w:cstheme="majorBidi"/>
          <w:sz w:val="16"/>
          <w:szCs w:val="16"/>
        </w:rPr>
        <w:t xml:space="preserve"> roadmaps shown in green are those with clear directions; those with orange are the group in which the writers implied the doctrines (five roadmaps). We could not find any principle in the red groups (four roadmaps)</w:t>
      </w:r>
    </w:p>
    <w:p w14:paraId="03E3D10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038"/>
    <w:rsid w:val="001E403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C8B7C"/>
  <w15:chartTrackingRefBased/>
  <w15:docId w15:val="{AEFBB4A3-C732-4C93-8238-88D0BD723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0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4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E403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2020-12-11T01:27:00Z</dcterms:created>
  <dcterms:modified xsi:type="dcterms:W3CDTF">2020-12-11T01:28:00Z</dcterms:modified>
</cp:coreProperties>
</file>