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81B8E">
      <w:pPr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sz w:val="24"/>
          <w:highlight w:val="none"/>
        </w:rPr>
        <w:t>Table 2. Compact capability matrix for fracture modelling of PBXs and solid propellants.</w:t>
      </w:r>
    </w:p>
    <w:tbl>
      <w:tblPr>
        <w:tblStyle w:val="3"/>
        <w:tblW w:w="8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0"/>
        <w:gridCol w:w="1076"/>
        <w:gridCol w:w="1076"/>
        <w:gridCol w:w="1076"/>
        <w:gridCol w:w="1076"/>
        <w:gridCol w:w="1076"/>
      </w:tblGrid>
      <w:tr w14:paraId="06D38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5BBBF1">
            <w:pPr>
              <w:keepLines/>
              <w:spacing w:before="0" w:after="0" w:line="240" w:lineRule="auto"/>
              <w:jc w:val="center"/>
              <w:rPr>
                <w:rFonts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</w:rPr>
              <w:t>Fracture-modelling requirement</w:t>
            </w:r>
          </w:p>
        </w:tc>
        <w:tc>
          <w:tcPr>
            <w:tcW w:w="1076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8014FC">
            <w:pPr>
              <w:keepLines/>
              <w:spacing w:before="0" w:after="0" w:line="240" w:lineRule="auto"/>
              <w:jc w:val="center"/>
              <w:rPr>
                <w:rFonts w:hint="default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  <w:t>XFEM</w:t>
            </w:r>
          </w:p>
        </w:tc>
        <w:tc>
          <w:tcPr>
            <w:tcW w:w="1076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0C45EC">
            <w:pPr>
              <w:keepLines/>
              <w:spacing w:before="0" w:after="0" w:line="240" w:lineRule="auto"/>
              <w:jc w:val="center"/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  <w:t>CZM</w:t>
            </w:r>
          </w:p>
        </w:tc>
        <w:tc>
          <w:tcPr>
            <w:tcW w:w="1076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AAC343">
            <w:pPr>
              <w:keepLines/>
              <w:spacing w:before="0" w:after="0" w:line="240" w:lineRule="auto"/>
              <w:jc w:val="center"/>
              <w:rPr>
                <w:rFonts w:hint="default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  <w:t>PFM</w:t>
            </w:r>
          </w:p>
        </w:tc>
        <w:tc>
          <w:tcPr>
            <w:tcW w:w="1076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E7BF43">
            <w:pPr>
              <w:keepLines/>
              <w:spacing w:before="0" w:after="0" w:line="240" w:lineRule="auto"/>
              <w:jc w:val="center"/>
              <w:rPr>
                <w:rFonts w:hint="default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  <w:t>PD</w:t>
            </w:r>
          </w:p>
        </w:tc>
        <w:tc>
          <w:tcPr>
            <w:tcW w:w="1076" w:type="dxa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221260">
            <w:pPr>
              <w:keepLines/>
              <w:spacing w:before="0" w:after="0" w:line="240" w:lineRule="auto"/>
              <w:jc w:val="center"/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/>
                <w:b/>
                <w:i w:val="0"/>
                <w:color w:val="20252A"/>
                <w:sz w:val="24"/>
                <w:szCs w:val="24"/>
                <w:highlight w:val="none"/>
                <w:lang w:val="en-US" w:eastAsia="zh-CN"/>
              </w:rPr>
              <w:t>DEM</w:t>
            </w:r>
          </w:p>
        </w:tc>
      </w:tr>
      <w:tr w14:paraId="4E578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A6D27A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Resolved interface debonding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CC2FFE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5C789C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0868C2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96FEFA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1331A4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</w:tr>
      <w:tr w14:paraId="69EA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9CC153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Representation of one or a few dominant crack paths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E5BF76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078283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75F5EF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0F757F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AFFC19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</w:tr>
      <w:tr w14:paraId="0B1D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D10CE3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Distributed nucleation, branching and coalescence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FC8312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4C42B1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5A4836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5E94D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D6CE4E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</w:tr>
      <w:tr w14:paraId="57021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0EB01D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Fragmentation and large separation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418B39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2FC68D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421D61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B2D076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86C1DB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</w:tr>
      <w:tr w14:paraId="1A3E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9C3D2B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Closure, friction and rearrangement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7ACA6A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7BB079">
            <w:pPr>
              <w:keepLines/>
              <w:spacing w:before="0" w:after="0" w:line="240" w:lineRule="auto"/>
              <w:jc w:val="center"/>
              <w:rPr>
                <w:sz w:val="44"/>
                <w:szCs w:val="4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3F4885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FB3A6D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FB92EE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</w:tr>
      <w:tr w14:paraId="4330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D51732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Coupling to continuum multiphysics fields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BE45CC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FB592F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844FEB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8217B2">
            <w:pPr>
              <w:keepLines/>
              <w:spacing w:before="0" w:after="0" w:line="240" w:lineRule="auto"/>
              <w:jc w:val="center"/>
              <w:rPr>
                <w:rFonts w:hint="eastAsia" w:ascii="DejaVu Sans" w:hAnsi="DejaVu Sans" w:eastAsia="宋体"/>
                <w:b w:val="0"/>
                <w:i w:val="0"/>
                <w:color w:val="20252A"/>
                <w:sz w:val="52"/>
                <w:szCs w:val="52"/>
                <w:highlight w:val="none"/>
                <w:lang w:val="en-US" w:eastAsia="zh-CN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C8CDD2" w:sz="4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9AE86E">
            <w:pPr>
              <w:keepLines/>
              <w:spacing w:before="0" w:after="0" w:line="240" w:lineRule="auto"/>
              <w:jc w:val="center"/>
              <w:rPr>
                <w:rFonts w:hint="eastAsia" w:ascii="DejaVu Sans" w:hAnsi="DejaVu Sans" w:eastAsia="宋体"/>
                <w:b w:val="0"/>
                <w:i w:val="0"/>
                <w:color w:val="20252A"/>
                <w:sz w:val="52"/>
                <w:szCs w:val="52"/>
                <w:highlight w:val="none"/>
                <w:lang w:val="en-US" w:eastAsia="zh-CN"/>
              </w:rPr>
            </w:pPr>
            <w:r>
              <w:rPr>
                <w:rFonts w:hint="eastAsia"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◐</w:t>
            </w:r>
          </w:p>
        </w:tc>
      </w:tr>
      <w:tr w14:paraId="201A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00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7869F7">
            <w:pPr>
              <w:keepLines/>
              <w:spacing w:before="0" w:after="0" w:line="240" w:lineRule="auto"/>
              <w:jc w:val="center"/>
              <w:rPr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20252A"/>
                <w:sz w:val="24"/>
                <w:szCs w:val="24"/>
                <w:highlight w:val="none"/>
              </w:rPr>
              <w:t>Three-dimensional engineering-scale application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1C548D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D68FEE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●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AF4142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ascii="DejaVu Sans" w:hAnsi="DejaVu Sans" w:eastAsia="宋体"/>
                <w:b w:val="0"/>
                <w:i w:val="0"/>
                <w:color w:val="20252A"/>
                <w:sz w:val="44"/>
                <w:szCs w:val="44"/>
                <w:highlight w:val="none"/>
                <w:lang w:val="en-US" w:eastAsia="zh-CN"/>
              </w:rPr>
              <w:t xml:space="preserve"> </w:t>
            </w:r>
            <w:r>
              <w:rPr>
                <w:rFonts w:ascii="DejaVu Sans" w:hAnsi="DejaVu Sans" w:eastAsia="DejaVu Sans"/>
                <w:b w:val="0"/>
                <w:i w:val="0"/>
                <w:color w:val="20252A"/>
                <w:sz w:val="44"/>
                <w:szCs w:val="44"/>
                <w:highlight w:val="none"/>
              </w:rPr>
              <w:t>◐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5DE156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  <w:tc>
          <w:tcPr>
            <w:tcW w:w="1076" w:type="dxa"/>
            <w:tcBorders>
              <w:top w:val="single" w:color="C8CDD2" w:sz="4" w:space="0"/>
              <w:left w:val="nil"/>
              <w:bottom w:val="single" w:color="000000" w:themeColor="text1" w:sz="12" w:space="0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E5D642">
            <w:pPr>
              <w:keepLines/>
              <w:spacing w:before="0" w:after="0" w:line="24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DejaVu Sans" w:hAnsi="DejaVu Sans" w:eastAsia="DejaVu Sans"/>
                <w:b w:val="0"/>
                <w:i w:val="0"/>
                <w:color w:val="20252A"/>
                <w:sz w:val="24"/>
                <w:szCs w:val="24"/>
                <w:highlight w:val="none"/>
              </w:rPr>
              <w:t>○</w:t>
            </w:r>
          </w:p>
        </w:tc>
      </w:tr>
    </w:tbl>
    <w:p w14:paraId="2134625C">
      <w:pPr>
        <w:spacing w:before="60" w:after="100" w:line="240" w:lineRule="auto"/>
        <w:jc w:val="both"/>
        <w:rPr>
          <w:rFonts w:ascii="Times New Roman" w:hAnsi="Times New Roman" w:eastAsia="Times New Roman"/>
          <w:b w:val="0"/>
          <w:i w:val="0"/>
          <w:color w:val="20252A"/>
          <w:sz w:val="21"/>
          <w:szCs w:val="21"/>
          <w:highlight w:val="none"/>
        </w:rPr>
      </w:pPr>
      <w:r>
        <w:rPr>
          <w:rFonts w:ascii="Times New Roman" w:hAnsi="Times New Roman" w:eastAsia="Times New Roman"/>
          <w:b/>
          <w:i w:val="0"/>
          <w:color w:val="20252A"/>
          <w:sz w:val="21"/>
          <w:szCs w:val="21"/>
          <w:highlight w:val="none"/>
        </w:rPr>
        <w:t xml:space="preserve">Note: </w:t>
      </w:r>
      <w:r>
        <w:rPr>
          <w:rFonts w:hint="eastAsia" w:ascii="Times New Roman" w:hAnsi="Times New Roman" w:eastAsia="Times New Roman"/>
          <w:b w:val="0"/>
          <w:i w:val="0"/>
          <w:color w:val="20252A"/>
          <w:sz w:val="21"/>
          <w:szCs w:val="21"/>
          <w:highlight w:val="none"/>
          <w:lang w:val="en-US" w:eastAsia="zh-CN"/>
        </w:rPr>
        <w:t xml:space="preserve">The classifications are based on applications to PBXs, solid propellants and explicitly identified energetic constituents reviewed in Sections 3-7. </w:t>
      </w:r>
      <w:r>
        <w:rPr>
          <w:rFonts w:ascii="DejaVu Sans" w:hAnsi="DejaVu Sans" w:eastAsia="DejaVu Sans"/>
          <w:b w:val="0"/>
          <w:i w:val="0"/>
          <w:color w:val="20252A"/>
          <w:sz w:val="21"/>
          <w:szCs w:val="21"/>
          <w:highlight w:val="none"/>
        </w:rPr>
        <w:t>●</w:t>
      </w:r>
      <w:r>
        <w:rPr>
          <w:rFonts w:hint="eastAsia" w:ascii="Times New Roman" w:hAnsi="Times New Roman" w:eastAsia="Times New Roman"/>
          <w:b w:val="0"/>
          <w:i w:val="0"/>
          <w:color w:val="20252A"/>
          <w:sz w:val="21"/>
          <w:szCs w:val="21"/>
          <w:highlight w:val="none"/>
          <w:lang w:val="en-US" w:eastAsia="zh-CN"/>
        </w:rPr>
        <w:t xml:space="preserve"> indicates direct application evidence for the stated process; </w:t>
      </w:r>
      <w:r>
        <w:rPr>
          <w:rFonts w:ascii="DejaVu Sans" w:hAnsi="DejaVu Sans" w:eastAsia="DejaVu Sans"/>
          <w:b w:val="0"/>
          <w:i w:val="0"/>
          <w:color w:val="20252A"/>
          <w:sz w:val="36"/>
          <w:szCs w:val="36"/>
          <w:highlight w:val="none"/>
        </w:rPr>
        <w:t>◐</w:t>
      </w:r>
      <w:r>
        <w:rPr>
          <w:rFonts w:hint="eastAsia" w:ascii="Times New Roman" w:hAnsi="Times New Roman" w:eastAsia="Times New Roman"/>
          <w:b w:val="0"/>
          <w:i w:val="0"/>
          <w:color w:val="20252A"/>
          <w:sz w:val="21"/>
          <w:szCs w:val="21"/>
          <w:highlight w:val="none"/>
          <w:lang w:val="en-US" w:eastAsia="zh-CN"/>
        </w:rPr>
        <w:t xml:space="preserve"> indicates application evidence limited by material scope, dimensionality, process coverage or local validation; and </w:t>
      </w:r>
      <w:r>
        <w:rPr>
          <w:rFonts w:ascii="DejaVu Sans" w:hAnsi="DejaVu Sans" w:eastAsia="DejaVu Sans"/>
          <w:b w:val="0"/>
          <w:i w:val="0"/>
          <w:color w:val="20252A"/>
          <w:sz w:val="21"/>
          <w:szCs w:val="21"/>
          <w:highlight w:val="none"/>
        </w:rPr>
        <w:t>○</w:t>
      </w:r>
      <w:r>
        <w:rPr>
          <w:rFonts w:hint="eastAsia" w:ascii="Times New Roman" w:hAnsi="Times New Roman" w:eastAsia="Times New Roman"/>
          <w:b w:val="0"/>
          <w:i w:val="0"/>
          <w:color w:val="20252A"/>
          <w:sz w:val="21"/>
          <w:szCs w:val="21"/>
          <w:highlight w:val="none"/>
          <w:lang w:val="en-US" w:eastAsia="zh-CN"/>
        </w:rPr>
        <w:t xml:space="preserve"> indicates little or no direct evidence in the reviewed energetic-material literature. The symbols describe the application-supported scope of each method rather than a universal ranking of intrinsic capability, predictive accuracy or computational efficiency.</w:t>
      </w:r>
    </w:p>
    <w:p w14:paraId="391EBDA3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DejaVu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89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2026-09-23T09:02:30Z</dcterms:created>
  <dc:creator>Nemo</dc:creator>
  <cp:lastModifiedBy>Liu</cp:lastModifiedBy>
  <dcterms:modified xsi:type="dcterms:W3CDTF">2026-09-23T09:02:52Z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eyJoZGlkIjoiODAyYzYwOWMxYjViZGQ1NmU5NGI1Yzc2OTc5YzE3YmEiLCJ1c2VySWQiOiIzODkyNTY4NjUifQ==</vt:lpwstr>
  </property>
  <property fmtid="{D5CDD505-2E9C-101B-9397-08002B2CF9AE}" pid="4" name="ICV">
    <vt:lpwstr>43836F6C332649BBA3D9A37A2915023B_12</vt:lpwstr>
  </property>
</Properties>
</file>