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055E6">
      <w:pPr>
        <w:jc w:val="both"/>
        <w:rPr>
          <w:rFonts w:hint="eastAsia" w:ascii="Times New Roman" w:hAnsi="Times New Roman" w:cs="Times New Roman" w:eastAsiaTheme="minorEastAsia"/>
          <w:sz w:val="24"/>
          <w:highlight w:val="none"/>
          <w:lang w:val="en-US" w:eastAsia="zh-CN"/>
        </w:rPr>
      </w:pPr>
      <w:r>
        <w:rPr>
          <w:rFonts w:ascii="Times New Roman" w:hAnsi="Times New Roman" w:cs="Times New Roman"/>
          <w:sz w:val="24"/>
          <w:highlight w:val="none"/>
        </w:rPr>
        <w:t>Table 1.</w:t>
      </w:r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Integrated m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>echanism-observable-method mapping for PBXs and solid propellants.</w:t>
      </w:r>
    </w:p>
    <w:tbl>
      <w:tblPr>
        <w:tblStyle w:val="2"/>
        <w:tblW w:w="941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2484"/>
        <w:gridCol w:w="2862"/>
        <w:gridCol w:w="2225"/>
      </w:tblGrid>
      <w:tr w14:paraId="28D47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tblHeader/>
          <w:jc w:val="center"/>
        </w:trPr>
        <w:tc>
          <w:tcPr>
            <w:tcW w:w="184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D3A5782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Material problem and loading context</w:t>
            </w:r>
          </w:p>
        </w:tc>
        <w:tc>
          <w:tcPr>
            <w:tcW w:w="24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14062EE">
            <w:pPr>
              <w:spacing w:before="0" w:after="0" w:line="240" w:lineRule="auto"/>
              <w:jc w:val="center"/>
              <w:rPr>
                <w:rFonts w:hint="default" w:eastAsia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Dominant mechanism and target</w:t>
            </w: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observable</w:t>
            </w:r>
          </w:p>
        </w:tc>
        <w:tc>
          <w:tcPr>
            <w:tcW w:w="286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76B850D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/>
                <w:b/>
                <w:color w:val="auto"/>
                <w:sz w:val="24"/>
                <w:szCs w:val="24"/>
                <w:highlight w:val="none"/>
              </w:rPr>
              <w:t>Mechanism-compatible representation</w:t>
            </w:r>
          </w:p>
        </w:tc>
        <w:tc>
          <w:tcPr>
            <w:tcW w:w="22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62A314E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  <w:highlight w:val="none"/>
              </w:rPr>
              <w:t>Critical qualification</w:t>
            </w:r>
          </w:p>
        </w:tc>
      </w:tr>
      <w:tr w14:paraId="51CA98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8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72284A1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PBX mesoscale fracture</w:t>
            </w:r>
          </w:p>
        </w:tc>
        <w:tc>
          <w:tcPr>
            <w:tcW w:w="248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BE2F39E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Interface debonding, binder-ligament failure and microcrack coalescence; local damage and specimen response.</w:t>
            </w:r>
          </w:p>
        </w:tc>
        <w:tc>
          <w:tcPr>
            <w:tcW w:w="286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1935E48">
            <w:pPr>
              <w:spacing w:before="0" w:after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CZM or DEM for distributed interface/contact damage; XFEM for a dominant crack after localisation [1,13,20,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64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4A596A6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Separate interface and bulk failure parameters; validate local damage as well as global response.</w:t>
            </w:r>
          </w:p>
        </w:tc>
      </w:tr>
      <w:tr w14:paraId="2181A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228DE2B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PBX crack from a cavity or notch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C3F4677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Sharp crack initiation and propagation; crack path, failure load and growth history.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D619E9E">
            <w:pPr>
              <w:spacing w:before="0" w:after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XFEM for one or a few dominant cracks; PFM or PD when distributed initiation and interacting topology must be represented [26,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81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1B23777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Use independently measured fracture properties and demonstrate mesh/internal-length sensitivity.</w:t>
            </w:r>
          </w:p>
        </w:tc>
      </w:tr>
      <w:tr w14:paraId="43FC6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40D425B">
            <w:pPr>
              <w:spacing w:before="0" w:after="0" w:line="240" w:lineRule="auto"/>
              <w:jc w:val="center"/>
              <w:rPr>
                <w:rFonts w:hint="default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20252A"/>
                <w:sz w:val="24"/>
                <w:szCs w:val="24"/>
                <w:highlight w:val="none"/>
              </w:rPr>
              <w:t>PBX impact, hot-spot formation and ignition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BA7CE3A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20252A"/>
                <w:sz w:val="24"/>
                <w:szCs w:val="24"/>
                <w:highlight w:val="none"/>
              </w:rPr>
              <w:t>Mechanical damage or fracture; dissipative heating, temperature, reaction progress and ignition delay.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55ACAB0">
            <w:pPr>
              <w:spacing w:before="0" w:after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Coupled PD for distributed damage and thermo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chemical fields; DEM or an explicit mesoscale formulation when contact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or 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friction is central [6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,6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26BAB8B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Mechanical agreement does not validate temperature or ignition; energy partition and local thermal validation are required.</w:t>
            </w:r>
          </w:p>
        </w:tc>
      </w:tr>
      <w:tr w14:paraId="73AF4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F7578F0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Solid-propellant dewetting and rate-dependent failure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E5D3689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Viscoelastic interface separation, matrix deformation and distributed mesodamage.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EA884BA">
            <w:pPr>
              <w:spacing w:before="0" w:after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Rate-/temperature-dependent CZM for represented interfaces; PFM for distributed matrix/fracture fields; DEM when explicit force networks are required [8,21,6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5511633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Calibrate across rate, temperature and loading mode; avoid fitting all parameters to one global curve.</w:t>
            </w:r>
          </w:p>
        </w:tc>
      </w:tr>
      <w:tr w14:paraId="6F413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2028EAA2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Solid-propellant dominant or mixed-mode crack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65675684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Crack-tip blunting and mode-I/mixed-mode growth at specimen or grain scale.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18E68B09">
            <w:pPr>
              <w:spacing w:before="0" w:after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XFEM or CZM for one or a few cracks; PD or PFM for non-prescribed interacting topology [16,6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4A47399E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Validate crack path and load response under withheld rates or mode mixities.</w:t>
            </w:r>
          </w:p>
        </w:tc>
      </w:tr>
      <w:tr w14:paraId="0F986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84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0A8BF613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Crystal fracture or fracture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deflagration coupling</w:t>
            </w:r>
          </w:p>
        </w:tc>
        <w:tc>
          <w:tcPr>
            <w:tcW w:w="248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72B68326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Anisotropic cleavage or co-evolution of damage, heat release and burning surface.</w:t>
            </w:r>
          </w:p>
        </w:tc>
        <w:tc>
          <w:tcPr>
            <w:tcW w:w="28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335C5E4E">
            <w:pPr>
              <w:spacing w:before="0" w:after="0" w:line="240" w:lineRule="auto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PFM or PD with anisotropic constitutive relations for crystal fracture; coupled multiphysics formulations for deflagration [6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,6</w:t>
            </w:r>
            <w:r>
              <w:rPr>
                <w:rFonts w:hint="eastAsia" w:ascii="Times New Roman" w:hAnsi="Times New Roman"/>
                <w:b w:val="0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].</w:t>
            </w:r>
          </w:p>
        </w:tc>
        <w:tc>
          <w:tcPr>
            <w:tcW w:w="222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 w:themeFill="background1"/>
            <w:tcMar>
              <w:top w:w="85" w:type="dxa"/>
              <w:left w:w="95" w:type="dxa"/>
              <w:bottom w:w="85" w:type="dxa"/>
              <w:right w:w="95" w:type="dxa"/>
            </w:tcMar>
            <w:vAlign w:val="center"/>
          </w:tcPr>
          <w:p w14:paraId="51D20DF2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  <w:highlight w:val="none"/>
              </w:rPr>
              <w:t>Direct PBX crystal-fracture evidence and local thermochemical validation remain limited.</w:t>
            </w:r>
          </w:p>
        </w:tc>
      </w:tr>
    </w:tbl>
    <w:p w14:paraId="480C18BA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06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2026-09-23T09:02:00Z</dcterms:created>
  <dc:creator>Nemo</dc:creator>
  <cp:lastModifiedBy>Liu</cp:lastModifiedBy>
  <dcterms:modified xsi:type="dcterms:W3CDTF">2026-09-23T09:02:12Z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eyJoZGlkIjoiODAyYzYwOWMxYjViZGQ1NmU5NGI1Yzc2OTc5YzE3YmEiLCJ1c2VySWQiOiIzODkyNTY4NjUifQ==</vt:lpwstr>
  </property>
  <property fmtid="{D5CDD505-2E9C-101B-9397-08002B2CF9AE}" pid="4" name="ICV">
    <vt:lpwstr>8E204FD4C9FB49C285731CE8610D9207_12</vt:lpwstr>
  </property>
</Properties>
</file>