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D0E97">
      <w:pPr>
        <w:jc w:val="both"/>
        <w:rPr>
          <w:rFonts w:hint="eastAsia" w:ascii="Times New Roman" w:hAnsi="Times New Roman" w:eastAsia="Times New Roman" w:cstheme="minorBidi"/>
          <w:bCs w:val="0"/>
          <w:color w:val="7030A0"/>
          <w:kern w:val="2"/>
          <w:sz w:val="24"/>
          <w:szCs w:val="32"/>
          <w:highlight w:val="none"/>
        </w:rPr>
      </w:pPr>
      <w:r>
        <w:rPr>
          <w:rFonts w:ascii="Times New Roman" w:hAnsi="Times New Roman" w:cs="Times New Roman"/>
          <w:sz w:val="24"/>
          <w:highlight w:val="none"/>
        </w:rPr>
        <w:t>Table 3. Numerical scale and computational c</w:t>
      </w:r>
      <w:bookmarkStart w:id="0" w:name="_GoBack"/>
      <w:bookmarkEnd w:id="0"/>
      <w:r>
        <w:rPr>
          <w:rFonts w:ascii="Times New Roman" w:hAnsi="Times New Roman" w:cs="Times New Roman"/>
          <w:sz w:val="24"/>
          <w:highlight w:val="none"/>
        </w:rPr>
        <w:t>haracteristics of fracture modelling for PBXs and solid propellants.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550"/>
        <w:gridCol w:w="2675"/>
        <w:gridCol w:w="2240"/>
      </w:tblGrid>
      <w:tr w14:paraId="2247AB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728792E1">
            <w:pPr>
              <w:jc w:val="center"/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  <w:t>Method</w:t>
            </w:r>
          </w:p>
        </w:tc>
        <w:tc>
          <w:tcPr>
            <w:tcW w:w="2550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25445FB9">
            <w:pPr>
              <w:jc w:val="center"/>
              <w:rPr>
                <w:rFonts w:hint="default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  <w:t>Dimensionality and scale</w:t>
            </w:r>
          </w:p>
        </w:tc>
        <w:tc>
          <w:tcPr>
            <w:tcW w:w="2675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7349BFDF">
            <w:pPr>
              <w:jc w:val="center"/>
              <w:rPr>
                <w:rFonts w:hint="default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  <w:t>Discretisation and resolution</w:t>
            </w:r>
          </w:p>
        </w:tc>
        <w:tc>
          <w:tcPr>
            <w:tcW w:w="2240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1C9FA77B">
            <w:pPr>
              <w:jc w:val="center"/>
              <w:rPr>
                <w:rFonts w:hint="default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/>
              </w:rPr>
              <w:t>Conditional cost tendency</w:t>
            </w:r>
          </w:p>
        </w:tc>
      </w:tr>
      <w:tr w14:paraId="6B860C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B68CC40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XFEM</w:t>
            </w:r>
          </w:p>
        </w:tc>
        <w:tc>
          <w:tcPr>
            <w:tcW w:w="25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FBC8FB6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2D specimens and 3D structural-scale propellant-grain models [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3,13,16,26,94,95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6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A42121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FE mesh with local enrichment; the classical four-function basis adds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  <w:vertAlign w:val="subscript"/>
              </w:rPr>
              <w:t>dim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 Heaviside or 4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  <w:vertAlign w:val="subscript"/>
              </w:rPr>
              <w:t>dim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 crack-tip DOFs per enriched node. Key controls: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, quadrature and enriched-node count.</w:t>
            </w:r>
          </w:p>
        </w:tc>
        <w:tc>
          <w:tcPr>
            <w:tcW w:w="22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96D876C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Favourable for sparse cracks; cost rises with multiple fronts, branching, contact and 3D tracking [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206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].</w:t>
            </w:r>
          </w:p>
        </w:tc>
      </w:tr>
      <w:tr w14:paraId="62DB09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shd w:val="clear" w:color="auto" w:fill="auto"/>
            <w:vAlign w:val="center"/>
          </w:tcPr>
          <w:p w14:paraId="3BC9A83C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CZM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0ABDE19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2D/3D mesoscale and specimen models, including represented structural interfaces [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8,9,64,118-124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5C8E183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FE mesh with cohesive interfaces;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 must resolve the cohesive zone. Example: 1.0 × 0.8 mm, 98 HMX particles (25–98 μm) and 118,377 bulk/cohesive elements [1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9].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FEBE614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Favourable for a limited set of known interfaces; dense interface networks increase DOFs and stiffness constraints.</w:t>
            </w:r>
          </w:p>
        </w:tc>
      </w:tr>
      <w:tr w14:paraId="1F3AF0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shd w:val="clear" w:color="auto" w:fill="auto"/>
            <w:vAlign w:val="center"/>
          </w:tcPr>
          <w:p w14:paraId="25CC7660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PFM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08E42C7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Predominantly 2D PBX/propellant mesoscale and specimen models; 3D HMX single-crystal evidence [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63,67,81,141-143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6DB2729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FE displacement–phase-field system; one scalar phase-field DOF per node. Key controls: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/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, refined-zone extent and nonlinear iterations.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F8D3810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Uniform 3D resolution is costly; adaptivity is advantageous when fracture remains localised.</w:t>
            </w:r>
          </w:p>
        </w:tc>
      </w:tr>
      <w:tr w14:paraId="4A51F4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shd w:val="clear" w:color="auto" w:fill="auto"/>
            <w:vAlign w:val="center"/>
          </w:tcPr>
          <w:p w14:paraId="6B0A635D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PD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994C532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Mainly 2D PBX/propellant mesoscale and specimen models; limited 3D engineering-scale evidence [10,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66,68,157-159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0290A0ED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Meshfree material points with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  <w:vertAlign w:val="subscript"/>
              </w:rPr>
              <w:t>dim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 mechanical DOFs per point. Example: 60 × 20 × 5 mm, 4,961 points,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Δx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 = 0.5 mm and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δ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/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Δx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 = 3.134 [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161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5087A89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Cost scales with point count, neighbour count and explicit time-step restriction; full-domain 3D analyses remain expensive.</w:t>
            </w:r>
          </w:p>
        </w:tc>
      </w:tr>
      <w:tr w14:paraId="02C45E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shd w:val="clear" w:color="auto" w:fill="auto"/>
            <w:vAlign w:val="center"/>
          </w:tcPr>
          <w:p w14:paraId="1FAF802C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DEM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9AA1FEB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2D PBX damage models; 3D HTPB/NEPE particle assemblies for deformation and time-dependent response [19–21,1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z w:val="24"/>
                <w:szCs w:val="24"/>
                <w:highlight w:val="none"/>
                <w:lang w:val="en-US" w:eastAsia="zh-CN"/>
              </w:rPr>
              <w:t>75,176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53161012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 xml:space="preserve">Rigid-particle DEM; 3 DOFs per particle in 2D and 6 in 3D. Key controls: </w:t>
            </w:r>
            <w:r>
              <w:rPr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highlight w:val="none"/>
              </w:rPr>
              <w:t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  <w:vertAlign w:val="subscript"/>
              </w:rPr>
              <w:t>p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, coarse-graining and contact time step.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968386A">
            <w:pPr>
              <w:spacing w:before="0"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highlight w:val="none"/>
              </w:rPr>
              <w:t>Cost scales with particle/contact count and the stiffness-controlled time step; most useful when contact and rearrangement are target observables.</w:t>
            </w:r>
          </w:p>
        </w:tc>
      </w:tr>
    </w:tbl>
    <w:p w14:paraId="76A21DE2">
      <w:pPr>
        <w:keepNext/>
        <w:spacing w:before="0" w:after="120" w:line="240" w:lineRule="auto"/>
        <w:jc w:val="both"/>
        <w:rPr>
          <w:highlight w:val="none"/>
        </w:rPr>
      </w:pPr>
      <w:r>
        <w:rPr>
          <w:rFonts w:ascii="Times New Roman" w:hAnsi="Times New Roman" w:eastAsia="Times New Roman"/>
          <w:b/>
          <w:i w:val="0"/>
          <w:color w:val="20252A"/>
          <w:sz w:val="21"/>
          <w:szCs w:val="21"/>
          <w:highlight w:val="none"/>
        </w:rPr>
        <w:t>Note:</w:t>
      </w:r>
      <w:r>
        <w:rPr>
          <w:rFonts w:hint="eastAsia" w:ascii="Times New Roman" w:hAnsi="Times New Roman" w:eastAsia="宋体"/>
          <w:b/>
          <w:i w:val="0"/>
          <w:color w:val="20252A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i/>
          <w:sz w:val="21"/>
          <w:szCs w:val="21"/>
          <w:highlight w:val="none"/>
        </w:rPr>
        <w:t>n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  <w:vertAlign w:val="subscript"/>
        </w:rPr>
        <w:t>dim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</w:rPr>
        <w:t xml:space="preserve">, spatial dimension; </w:t>
      </w:r>
      <w:r>
        <w:rPr>
          <w:rFonts w:ascii="Times New Roman" w:hAnsi="Times New Roman" w:eastAsia="Times New Roman" w:cs="Times New Roman"/>
          <w:b w:val="0"/>
          <w:i/>
          <w:sz w:val="21"/>
          <w:szCs w:val="21"/>
          <w:highlight w:val="none"/>
        </w:rPr>
        <w:t>h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</w:rPr>
        <w:t xml:space="preserve">, FE size; </w:t>
      </w:r>
      <w:r>
        <w:rPr>
          <w:rFonts w:ascii="Times New Roman" w:hAnsi="Times New Roman" w:eastAsia="Times New Roman" w:cs="Times New Roman"/>
          <w:b w:val="0"/>
          <w:i/>
          <w:sz w:val="21"/>
          <w:szCs w:val="21"/>
          <w:highlight w:val="none"/>
        </w:rPr>
        <w:t>ℓ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</w:rPr>
        <w:t xml:space="preserve">, phase-field length; </w:t>
      </w:r>
      <w:r>
        <w:rPr>
          <w:rFonts w:ascii="Times New Roman" w:hAnsi="Times New Roman" w:eastAsia="Times New Roman" w:cs="Times New Roman"/>
          <w:b w:val="0"/>
          <w:i/>
          <w:sz w:val="21"/>
          <w:szCs w:val="21"/>
          <w:highlight w:val="none"/>
        </w:rPr>
        <w:t>Δx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</w:rPr>
        <w:t xml:space="preserve">, PD point spacing; </w:t>
      </w:r>
      <w:r>
        <w:rPr>
          <w:rFonts w:ascii="Times New Roman" w:hAnsi="Times New Roman" w:eastAsia="Times New Roman" w:cs="Times New Roman"/>
          <w:b w:val="0"/>
          <w:i/>
          <w:sz w:val="21"/>
          <w:szCs w:val="21"/>
          <w:highlight w:val="none"/>
        </w:rPr>
        <w:t>δ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</w:rPr>
        <w:t xml:space="preserve">, PD horizon; and </w:t>
      </w:r>
      <w:r>
        <w:rPr>
          <w:rFonts w:ascii="Times New Roman" w:hAnsi="Times New Roman" w:eastAsia="Times New Roman" w:cs="Times New Roman"/>
          <w:b w:val="0"/>
          <w:i/>
          <w:sz w:val="21"/>
          <w:szCs w:val="21"/>
          <w:highlight w:val="none"/>
        </w:rPr>
        <w:t>N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  <w:vertAlign w:val="subscript"/>
        </w:rPr>
        <w:t>p</w:t>
      </w:r>
      <w:r>
        <w:rPr>
          <w:rFonts w:ascii="Times New Roman" w:hAnsi="Times New Roman" w:eastAsia="Times New Roman" w:cs="Times New Roman"/>
          <w:b w:val="0"/>
          <w:i w:val="0"/>
          <w:sz w:val="21"/>
          <w:szCs w:val="21"/>
          <w:highlight w:val="none"/>
        </w:rPr>
        <w:t>, point/particle count. Cost tendencies are conditional on accuracy, implementation, solver and hardware.</w:t>
      </w:r>
    </w:p>
    <w:p w14:paraId="07567987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2026-09-23T09:03:03Z</dcterms:created>
  <dc:creator>Nemo</dc:creator>
  <cp:lastModifiedBy>Liu</cp:lastModifiedBy>
  <dcterms:modified xsi:type="dcterms:W3CDTF">2026-09-23T09:03:27Z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eyJoZGlkIjoiODAyYzYwOWMxYjViZGQ1NmU5NGI1Yzc2OTc5YzE3YmEiLCJ1c2VySWQiOiIzODkyNTY4NjUifQ==</vt:lpwstr>
  </property>
  <property fmtid="{D5CDD505-2E9C-101B-9397-08002B2CF9AE}" pid="4" name="ICV">
    <vt:lpwstr>9B2699267C184DCEBE1AEB9EDB3CD7D1_12</vt:lpwstr>
  </property>
</Properties>
</file>