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2398F" w14:textId="77777777" w:rsidR="00A027FA" w:rsidRPr="00A027FA" w:rsidRDefault="00A027FA" w:rsidP="00A027FA">
      <w:pPr>
        <w:rPr>
          <w:b/>
          <w:bCs/>
          <w:lang w:val="en-US"/>
        </w:rPr>
      </w:pPr>
      <w:r w:rsidRPr="00A027FA">
        <w:rPr>
          <w:b/>
          <w:bCs/>
          <w:lang w:val="en-US"/>
        </w:rPr>
        <w:t xml:space="preserve">Graphical Abstract </w:t>
      </w:r>
    </w:p>
    <w:p w14:paraId="4126D8E6" w14:textId="3AD23E1B" w:rsidR="00A027FA" w:rsidRPr="00A027FA" w:rsidRDefault="00A027FA" w:rsidP="00A027FA">
      <w:pPr>
        <w:rPr>
          <w:lang w:val="en-US"/>
        </w:rPr>
      </w:pPr>
      <w:r w:rsidRPr="00A027FA">
        <w:rPr>
          <w:lang w:val="en-US"/>
        </w:rPr>
        <w:drawing>
          <wp:inline distT="0" distB="0" distL="0" distR="0" wp14:anchorId="135039B3" wp14:editId="30D6C863">
            <wp:extent cx="5715000" cy="2181225"/>
            <wp:effectExtent l="0" t="0" r="0" b="9525"/>
            <wp:docPr id="18323360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58" t="1810" r="8411" b="9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5BC101" w14:textId="77777777" w:rsidR="00A027FA" w:rsidRPr="00A027FA" w:rsidRDefault="00A027FA" w:rsidP="00A027FA">
      <w:pPr>
        <w:rPr>
          <w:lang w:val="en-US"/>
        </w:rPr>
      </w:pPr>
      <w:r w:rsidRPr="00A027FA">
        <w:rPr>
          <w:lang w:val="en-US"/>
        </w:rPr>
        <w:t>(Left to right): (</w:t>
      </w:r>
      <w:proofErr w:type="spellStart"/>
      <w:r w:rsidRPr="00A027FA">
        <w:rPr>
          <w:lang w:val="en-US"/>
        </w:rPr>
        <w:t>i</w:t>
      </w:r>
      <w:proofErr w:type="spellEnd"/>
      <w:r w:rsidRPr="00A027FA">
        <w:rPr>
          <w:lang w:val="en-US"/>
        </w:rPr>
        <w:t xml:space="preserve">) </w:t>
      </w:r>
      <w:r w:rsidRPr="00A027FA">
        <w:rPr>
          <w:i/>
          <w:lang w:val="en-US"/>
        </w:rPr>
        <w:t>Nigella sativa</w:t>
      </w:r>
      <w:r w:rsidRPr="00A027FA">
        <w:rPr>
          <w:lang w:val="en-US"/>
        </w:rPr>
        <w:t xml:space="preserve"> seeds and </w:t>
      </w:r>
      <w:proofErr w:type="spellStart"/>
      <w:r w:rsidRPr="00A027FA">
        <w:rPr>
          <w:i/>
          <w:lang w:val="en-US"/>
        </w:rPr>
        <w:t>Azadirachta</w:t>
      </w:r>
      <w:proofErr w:type="spellEnd"/>
      <w:r w:rsidRPr="00A027FA">
        <w:rPr>
          <w:i/>
          <w:lang w:val="en-US"/>
        </w:rPr>
        <w:t xml:space="preserve"> indica</w:t>
      </w:r>
      <w:r w:rsidRPr="00A027FA">
        <w:rPr>
          <w:lang w:val="en-US"/>
        </w:rPr>
        <w:t xml:space="preserve"> leaves harvested and their aqueous/ethanolic extraction processes; (ii) a central reaction vessel with two zones, where extracts are added to AgNO</w:t>
      </w:r>
      <w:r w:rsidRPr="00A027FA">
        <w:rPr>
          <w:vertAlign w:val="subscript"/>
          <w:lang w:val="en-US"/>
        </w:rPr>
        <w:t>3</w:t>
      </w:r>
      <w:r w:rsidRPr="00A027FA">
        <w:rPr>
          <w:lang w:val="en-US"/>
        </w:rPr>
        <w:t xml:space="preserve"> solution, and in which the Ag</w:t>
      </w:r>
      <w:r w:rsidRPr="00A027FA">
        <w:rPr>
          <w:vertAlign w:val="superscript"/>
          <w:lang w:val="en-US"/>
        </w:rPr>
        <w:t>+</w:t>
      </w:r>
      <w:r w:rsidRPr="00A027FA">
        <w:rPr>
          <w:lang w:val="en-US"/>
        </w:rPr>
        <w:t xml:space="preserve"> is reduced to Ag</w:t>
      </w:r>
      <w:r w:rsidRPr="00A027FA">
        <w:rPr>
          <w:vertAlign w:val="superscript"/>
          <w:lang w:val="en-US"/>
        </w:rPr>
        <w:t>0</w:t>
      </w:r>
      <w:r w:rsidRPr="00A027FA">
        <w:rPr>
          <w:lang w:val="en-US"/>
        </w:rPr>
        <w:t xml:space="preserve"> through the action of flavonoids, phenolics and terpenoids, causing a color change from pale yellow/green to reddish-brown; (iii) a nanowire cluster of </w:t>
      </w:r>
      <w:proofErr w:type="spellStart"/>
      <w:r w:rsidRPr="00A027FA">
        <w:rPr>
          <w:lang w:val="en-US"/>
        </w:rPr>
        <w:t>AgNP</w:t>
      </w:r>
      <w:proofErr w:type="spellEnd"/>
      <w:r w:rsidRPr="00A027FA">
        <w:rPr>
          <w:lang w:val="en-US"/>
        </w:rPr>
        <w:t xml:space="preserve"> (Ag</w:t>
      </w:r>
      <w:r w:rsidRPr="00A027FA">
        <w:rPr>
          <w:vertAlign w:val="superscript"/>
          <w:lang w:val="en-US"/>
        </w:rPr>
        <w:t>+</w:t>
      </w:r>
      <w:r w:rsidRPr="00A027FA">
        <w:rPr>
          <w:lang w:val="en-US"/>
        </w:rPr>
        <w:t xml:space="preserve"> atoms reduced to Ag</w:t>
      </w:r>
      <w:r w:rsidRPr="00A027FA">
        <w:rPr>
          <w:vertAlign w:val="superscript"/>
          <w:lang w:val="en-US"/>
        </w:rPr>
        <w:t>0</w:t>
      </w:r>
      <w:r w:rsidRPr="00A027FA">
        <w:rPr>
          <w:lang w:val="en-US"/>
        </w:rPr>
        <w:t>), with a central core surrounded by layers of phytochemicals; (iv) icons for the principal characterization techniques (FT-IR, UV-Vis, TEM, XRD, DLS/zeta potential) and (v) a semicircular array of downstream biological/industrial applications including antibacterial, antifungal, anticancer, antioxidant, wound healing, drug delivery, food packaging and water purification.</w:t>
      </w:r>
    </w:p>
    <w:p w14:paraId="5170BC5C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7FA"/>
    <w:rsid w:val="001B592A"/>
    <w:rsid w:val="00767E38"/>
    <w:rsid w:val="00866F7D"/>
    <w:rsid w:val="00A027FA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A2D97"/>
  <w15:chartTrackingRefBased/>
  <w15:docId w15:val="{5E6A8D2E-FACF-43E9-9F9D-D225F807E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27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27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27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27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7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27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27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27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27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27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27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27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27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7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27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27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27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27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27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27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27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27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27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27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27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27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27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27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27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2026-07-28T14:06:00Z</dcterms:created>
  <dcterms:modified xsi:type="dcterms:W3CDTF">2026-07-28T14:06:00Z</dcterms:modified>
</cp:coreProperties>
</file>