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skvjm4qtdk59" w:id="0"/>
    <w:bookmarkEnd w:id="0"/>
    <w:p w:rsidR="00000000" w:rsidDel="00000000" w:rsidP="00000000" w:rsidRDefault="00000000" w:rsidRPr="00000000" w14:paraId="00000001">
      <w:pPr>
        <w:pStyle w:val="Heading1"/>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Supplementary Information (Online Resource 1)</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Production-network embedding and embodied carbon–energy footprints in semiconductor supply chains: An MRIO scenario analysis of Taiwan, Japan, and the United States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Journal: Journal of Industrial Ecology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Authors: Takuya Shimamuraᵃ, Shunsuke Managiᵇ</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ᵃ Faculty of Engineering, Kyushu University, 744 Motooka, Nishi-ku, Fukuoka-shi, Fukuoka, 819-0395, Japan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ᵇ Urban Institute, Kyushu University, 744 Motooka, Nishi-ku, Fukuoka-shi, Fukuoka, 819-0395, Japan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Corresponding author: Shunsuke Managi. E-mail: managi@doc.kyushu-u.ac.jp</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Supplementary Information accompanies the main manuscript. All values are computed from the 2022 Eora Full multi-region input–output (MRIO) table, with carbon measured using the EDGAR CO₂ satellite (I-EDGARv5.0-CO₂) and energy using the Eora I-ENERGY satellite. Because I-ENERGY is frozen after 2011, energy results are treated only as a 2022 cross-sector diagnostic. Reductions are reported as positive magnitudes,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sdt>
        <w:sdtPr>
          <w:id w:val="-1552081589"/>
          <w:tag w:val="goog_rdk_0"/>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 1 − </w:t>
          </w:r>
        </w:sdtContent>
      </w:sd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(τ), relative to Taiwan’s baseline multiplier,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(τ). Long sector-level tables are supplied as machine-readable sheets (Supplementary Data S1–S6) in Online Resource 2, listed at the end.</w:t>
      </w:r>
    </w:p>
    <w:bookmarkStart w:colFirst="0" w:colLast="0" w:name="bookmark=id.x3ugkepaumfq" w:id="1"/>
    <w:bookmarkEnd w:id="1"/>
    <w:p w:rsidR="00000000" w:rsidDel="00000000" w:rsidP="00000000" w:rsidRDefault="00000000" w:rsidRPr="00000000" w14:paraId="00000009">
      <w:pPr>
        <w:pStyle w:val="Heading2"/>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S1. Host-sector multipliers and Japan sector-specific results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reports the sector-specific embodied multipliers used in the host-country comparison. In the main text, the reported Japan value is the descriptive midpoint (arithmetic mean) of the unrounded multipliers for Japan’s two semiconductor-related sectors, Semiconductor devices (6072) and Integrated circuits (6073). Sector-specific CO₂ scenario results are reported in Table 3 of the main text; the full sector-specific multipliers, the corresponding energy results, and additional audit diagnostics are reported here.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reductions are reported as positive magnitudes relative to Taiwan’s Semiconductors sector. Energy is reported as a 2022 cross-sector diagnostic because the Eora I-ENERGY satellite is frozen after 2011.</w:t>
      </w:r>
    </w:p>
    <w:bookmarkStart w:colFirst="0" w:colLast="0" w:name="bookmark=id.fbmsdov7i0y5" w:id="2"/>
    <w:bookmarkEnd w:id="2"/>
    <w:p w:rsidR="00000000" w:rsidDel="00000000" w:rsidP="00000000" w:rsidRDefault="00000000" w:rsidRPr="00000000" w14:paraId="0000000C">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S1. Host-sector embodied multipliers and Scenario A reductions</w:t>
      </w:r>
      <w:r w:rsidDel="00000000" w:rsidR="00000000" w:rsidRPr="00000000">
        <w:rPr>
          <w:rtl w:val="0"/>
        </w:rPr>
      </w:r>
    </w:p>
    <w:tbl>
      <w:tblPr>
        <w:tblStyle w:val="Table1"/>
        <w:tblW w:w="96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1215"/>
        <w:gridCol w:w="915"/>
        <w:gridCol w:w="1500"/>
        <w:gridCol w:w="1230"/>
        <w:gridCol w:w="1155"/>
        <w:gridCol w:w="1110"/>
        <w:gridCol w:w="1305"/>
        <w:gridCol w:w="1260"/>
        <w:tblGridChange w:id="0">
          <w:tblGrid>
            <w:gridCol w:w="1215"/>
            <w:gridCol w:w="915"/>
            <w:gridCol w:w="1500"/>
            <w:gridCol w:w="1230"/>
            <w:gridCol w:w="1155"/>
            <w:gridCol w:w="1110"/>
            <w:gridCol w:w="1305"/>
            <w:gridCol w:w="1260"/>
          </w:tblGrid>
        </w:tblGridChange>
      </w:tblGrid>
      <w:tr>
        <w:trPr>
          <w:cantSplit w:val="0"/>
          <w:tblHeader w:val="1"/>
        </w:trPr>
        <w:tc>
          <w:tcPr>
            <w:shd w:fill="ffffff" w:val="clea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Country / host</w:t>
            </w:r>
            <w:r w:rsidDel="00000000" w:rsidR="00000000" w:rsidRPr="00000000">
              <w:rPr>
                <w:rtl w:val="0"/>
              </w:rPr>
            </w:r>
          </w:p>
        </w:tc>
        <w:tc>
          <w:tcPr>
            <w:shd w:fill="ffffff" w:val="clea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Sector index</w:t>
            </w:r>
            <w:r w:rsidDel="00000000" w:rsidR="00000000" w:rsidRPr="00000000">
              <w:rPr>
                <w:rtl w:val="0"/>
              </w:rPr>
            </w:r>
          </w:p>
        </w:tc>
        <w:tc>
          <w:tcPr>
            <w:shd w:fill="ffffff" w:val="cle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Sector label</w:t>
            </w:r>
            <w:r w:rsidDel="00000000" w:rsidR="00000000" w:rsidRPr="00000000">
              <w:rPr>
                <w:rtl w:val="0"/>
              </w:rPr>
            </w:r>
          </w:p>
        </w:tc>
        <w:tc>
          <w:tcPr>
            <w:shd w:fill="ffffff"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EDGAR CO₂ multiplier (Gg/kUSD)</w:t>
            </w:r>
            <w:r w:rsidDel="00000000" w:rsidR="00000000" w:rsidRPr="00000000">
              <w:rPr>
                <w:rtl w:val="0"/>
              </w:rPr>
            </w:r>
          </w:p>
        </w:tc>
        <w:tc>
          <w:tcPr>
            <w:shd w:fill="ffffff" w:val="clea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Energy multiplier (TJ/kUSD)</w:t>
            </w:r>
            <w:r w:rsidDel="00000000" w:rsidR="00000000" w:rsidRPr="00000000">
              <w:rPr>
                <w:rtl w:val="0"/>
              </w:rPr>
            </w:r>
          </w:p>
        </w:tc>
        <w:tc>
          <w:tcPr>
            <w:shd w:fill="ffffff" w:val="clear"/>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CO₂ per embodied energy (Gg/TJ)</w:t>
            </w:r>
            <w:r w:rsidDel="00000000" w:rsidR="00000000" w:rsidRPr="00000000">
              <w:rPr>
                <w:rtl w:val="0"/>
              </w:rPr>
            </w:r>
          </w:p>
        </w:tc>
        <w:tc>
          <w:tcPr>
            <w:shd w:fill="ffffff" w:val="clea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CO₂ reduction vs Taiwan</w:t>
            </w:r>
            <w:r w:rsidDel="00000000" w:rsidR="00000000" w:rsidRPr="00000000">
              <w:rPr>
                <w:rtl w:val="0"/>
              </w:rPr>
            </w:r>
          </w:p>
        </w:tc>
        <w:tc>
          <w:tcPr>
            <w:shd w:fill="ffffff"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Energy reduction vs Taiwan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w:t>
            </w:r>
            <w:r w:rsidDel="00000000" w:rsidR="00000000" w:rsidRPr="00000000">
              <w:rPr>
                <w:rtl w:val="0"/>
              </w:rPr>
            </w:r>
          </w:p>
        </w:tc>
        <w:tc>
          <w:tcPr>
            <w:shd w:fill="ffffff" w:val="clea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11348</w:t>
            </w:r>
            <w:r w:rsidDel="00000000" w:rsidR="00000000" w:rsidRPr="00000000">
              <w:rPr>
                <w:rtl w:val="0"/>
              </w:rPr>
            </w:r>
          </w:p>
        </w:tc>
        <w:tc>
          <w:tcPr>
            <w:shd w:fill="ffffff" w:val="clea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Semiconductors</w:t>
            </w:r>
            <w:r w:rsidDel="00000000" w:rsidR="00000000" w:rsidRPr="00000000">
              <w:rPr>
                <w:rtl w:val="0"/>
              </w:rPr>
            </w:r>
          </w:p>
        </w:tc>
        <w:tc>
          <w:tcPr>
            <w:shd w:fill="ffffff" w:val="clea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4.0675e-03</w:t>
            </w:r>
            <w:r w:rsidDel="00000000" w:rsidR="00000000" w:rsidRPr="00000000">
              <w:rPr>
                <w:rtl w:val="0"/>
              </w:rPr>
            </w:r>
          </w:p>
        </w:tc>
        <w:tc>
          <w:tcPr>
            <w:shd w:fill="ffffff" w:val="clea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0.14423</w:t>
            </w:r>
            <w:r w:rsidDel="00000000" w:rsidR="00000000" w:rsidRPr="00000000">
              <w:rPr>
                <w:rtl w:val="0"/>
              </w:rPr>
            </w:r>
          </w:p>
        </w:tc>
        <w:tc>
          <w:tcPr>
            <w:shd w:fill="ffffff" w:val="clear"/>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0.0282</w:t>
            </w:r>
            <w:r w:rsidDel="00000000" w:rsidR="00000000" w:rsidRPr="00000000">
              <w:rPr>
                <w:rtl w:val="0"/>
              </w:rPr>
            </w:r>
          </w:p>
        </w:tc>
        <w:tc>
          <w:tcPr>
            <w:shd w:fill="ffffff" w:val="clear"/>
            <w:vAlign w:val="cente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baseline</w:t>
            </w:r>
            <w:r w:rsidDel="00000000" w:rsidR="00000000" w:rsidRPr="00000000">
              <w:rPr>
                <w:rtl w:val="0"/>
              </w:rPr>
            </w:r>
          </w:p>
        </w:tc>
        <w:tc>
          <w:tcPr>
            <w:shd w:fill="ffffff" w:val="clear"/>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baseline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w:t>
            </w:r>
            <w:r w:rsidDel="00000000" w:rsidR="00000000" w:rsidRPr="00000000">
              <w:rPr>
                <w:rtl w:val="0"/>
              </w:rPr>
            </w:r>
          </w:p>
        </w:tc>
        <w:tc>
          <w:tcPr>
            <w:shd w:fill="ffffff" w:val="clear"/>
            <w:vAlign w:val="cente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6072</w:t>
            </w:r>
            <w:r w:rsidDel="00000000" w:rsidR="00000000" w:rsidRPr="00000000">
              <w:rPr>
                <w:rtl w:val="0"/>
              </w:rPr>
            </w:r>
          </w:p>
        </w:tc>
        <w:tc>
          <w:tcPr>
            <w:shd w:fill="ffffff" w:val="clear"/>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Semiconductor devices</w:t>
            </w:r>
            <w:r w:rsidDel="00000000" w:rsidR="00000000" w:rsidRPr="00000000">
              <w:rPr>
                <w:rtl w:val="0"/>
              </w:rPr>
            </w:r>
          </w:p>
        </w:tc>
        <w:tc>
          <w:tcPr>
            <w:shd w:fill="ffffff" w:val="clear"/>
            <w:vAlign w:val="cente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4.3277e-04</w:t>
            </w:r>
            <w:r w:rsidDel="00000000" w:rsidR="00000000" w:rsidRPr="00000000">
              <w:rPr>
                <w:rtl w:val="0"/>
              </w:rPr>
            </w:r>
          </w:p>
        </w:tc>
        <w:tc>
          <w:tcPr>
            <w:shd w:fill="ffffff" w:val="clear"/>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4.7896e-03</w:t>
            </w:r>
            <w:r w:rsidDel="00000000" w:rsidR="00000000" w:rsidRPr="00000000">
              <w:rPr>
                <w:rtl w:val="0"/>
              </w:rPr>
            </w:r>
          </w:p>
        </w:tc>
        <w:tc>
          <w:tcPr>
            <w:shd w:fill="ffffff" w:val="cle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0.0904</w:t>
            </w:r>
            <w:r w:rsidDel="00000000" w:rsidR="00000000" w:rsidRPr="00000000">
              <w:rPr>
                <w:rtl w:val="0"/>
              </w:rPr>
            </w:r>
          </w:p>
        </w:tc>
        <w:tc>
          <w:tcPr>
            <w:shd w:fill="ffffff" w:val="clear"/>
            <w:vAlign w:val="cente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89.36%</w:t>
            </w:r>
            <w:r w:rsidDel="00000000" w:rsidR="00000000" w:rsidRPr="00000000">
              <w:rPr>
                <w:rtl w:val="0"/>
              </w:rPr>
            </w:r>
          </w:p>
        </w:tc>
        <w:tc>
          <w:tcPr>
            <w:shd w:fill="ffffff" w:val="cle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96.68%</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w:t>
            </w:r>
            <w:r w:rsidDel="00000000" w:rsidR="00000000" w:rsidRPr="00000000">
              <w:rPr>
                <w:rtl w:val="0"/>
              </w:rPr>
            </w:r>
          </w:p>
        </w:tc>
        <w:tc>
          <w:tcPr>
            <w:shd w:fill="ffffff" w:val="clear"/>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6073</w:t>
            </w:r>
            <w:r w:rsidDel="00000000" w:rsidR="00000000" w:rsidRPr="00000000">
              <w:rPr>
                <w:rtl w:val="0"/>
              </w:rPr>
            </w:r>
          </w:p>
        </w:tc>
        <w:tc>
          <w:tcPr>
            <w:shd w:fill="ffffff" w:val="clear"/>
            <w:vAlign w:val="cente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Integrated circuits</w:t>
            </w:r>
            <w:r w:rsidDel="00000000" w:rsidR="00000000" w:rsidRPr="00000000">
              <w:rPr>
                <w:rtl w:val="0"/>
              </w:rPr>
            </w:r>
          </w:p>
        </w:tc>
        <w:tc>
          <w:tcPr>
            <w:shd w:fill="ffffff" w:val="cle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4.6873e-04</w:t>
            </w:r>
            <w:r w:rsidDel="00000000" w:rsidR="00000000" w:rsidRPr="00000000">
              <w:rPr>
                <w:rtl w:val="0"/>
              </w:rPr>
            </w:r>
          </w:p>
        </w:tc>
        <w:tc>
          <w:tcPr>
            <w:shd w:fill="ffffff" w:val="clear"/>
            <w:vAlign w:val="cente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5.5285e-03</w:t>
            </w:r>
            <w:r w:rsidDel="00000000" w:rsidR="00000000" w:rsidRPr="00000000">
              <w:rPr>
                <w:rtl w:val="0"/>
              </w:rPr>
            </w:r>
          </w:p>
        </w:tc>
        <w:tc>
          <w:tcPr>
            <w:shd w:fill="ffffff" w:val="clear"/>
            <w:vAlign w:val="cente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0.0848</w:t>
            </w:r>
            <w:r w:rsidDel="00000000" w:rsidR="00000000" w:rsidRPr="00000000">
              <w:rPr>
                <w:rtl w:val="0"/>
              </w:rPr>
            </w:r>
          </w:p>
        </w:tc>
        <w:tc>
          <w:tcPr>
            <w:shd w:fill="ffffff" w:val="clear"/>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88.48%</w:t>
            </w:r>
            <w:r w:rsidDel="00000000" w:rsidR="00000000" w:rsidRPr="00000000">
              <w:rPr>
                <w:rtl w:val="0"/>
              </w:rPr>
            </w:r>
          </w:p>
        </w:tc>
        <w:tc>
          <w:tcPr>
            <w:shd w:fill="ffffff" w:val="clear"/>
            <w:vAlign w:val="cente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96.17%</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w:t>
            </w:r>
            <w:r w:rsidDel="00000000" w:rsidR="00000000" w:rsidRPr="00000000">
              <w:rPr>
                <w:rtl w:val="0"/>
              </w:rPr>
            </w:r>
          </w:p>
        </w:tc>
        <w:tc>
          <w:tcPr>
            <w:shd w:fill="ffffff" w:val="clea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avg</w:t>
            </w:r>
            <w:r w:rsidDel="00000000" w:rsidR="00000000" w:rsidRPr="00000000">
              <w:rPr>
                <w:rtl w:val="0"/>
              </w:rPr>
            </w:r>
          </w:p>
        </w:tc>
        <w:tc>
          <w:tcPr>
            <w:shd w:fill="ffffff" w:val="clear"/>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Simple average of 6072 and 6073</w:t>
            </w:r>
            <w:r w:rsidDel="00000000" w:rsidR="00000000" w:rsidRPr="00000000">
              <w:rPr>
                <w:rtl w:val="0"/>
              </w:rPr>
            </w:r>
          </w:p>
        </w:tc>
        <w:tc>
          <w:tcPr>
            <w:shd w:fill="ffffff" w:val="clear"/>
            <w:vAlign w:val="cente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4.5075e-04</w:t>
            </w:r>
            <w:r w:rsidDel="00000000" w:rsidR="00000000" w:rsidRPr="00000000">
              <w:rPr>
                <w:rtl w:val="0"/>
              </w:rPr>
            </w:r>
          </w:p>
        </w:tc>
        <w:tc>
          <w:tcPr>
            <w:shd w:fill="ffffff" w:val="clear"/>
            <w:vAlign w:val="cente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5.1590e-03</w:t>
            </w:r>
            <w:r w:rsidDel="00000000" w:rsidR="00000000" w:rsidRPr="00000000">
              <w:rPr>
                <w:rtl w:val="0"/>
              </w:rPr>
            </w:r>
          </w:p>
        </w:tc>
        <w:tc>
          <w:tcPr>
            <w:shd w:fill="ffffff" w:val="clear"/>
            <w:vAlign w:val="cente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0.0874</w:t>
            </w:r>
            <w:r w:rsidDel="00000000" w:rsidR="00000000" w:rsidRPr="00000000">
              <w:rPr>
                <w:rtl w:val="0"/>
              </w:rPr>
            </w:r>
          </w:p>
        </w:tc>
        <w:tc>
          <w:tcPr>
            <w:shd w:fill="ffffff" w:val="clear"/>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88.92%</w:t>
            </w:r>
            <w:r w:rsidDel="00000000" w:rsidR="00000000" w:rsidRPr="00000000">
              <w:rPr>
                <w:rtl w:val="0"/>
              </w:rPr>
            </w:r>
          </w:p>
        </w:tc>
        <w:tc>
          <w:tcPr>
            <w:shd w:fill="ffffff" w:val="clear"/>
            <w:vAlign w:val="cente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96.42%</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13452</w:t>
            </w:r>
            <w:r w:rsidDel="00000000" w:rsidR="00000000" w:rsidRPr="00000000">
              <w:rPr>
                <w:rtl w:val="0"/>
              </w:rPr>
            </w:r>
          </w:p>
        </w:tc>
        <w:tc>
          <w:tcPr>
            <w:shd w:fill="ffffff" w:val="clear"/>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Semiconductor and related device manufacturing</w:t>
            </w:r>
            <w:r w:rsidDel="00000000" w:rsidR="00000000" w:rsidRPr="00000000">
              <w:rPr>
                <w:rtl w:val="0"/>
              </w:rPr>
            </w:r>
          </w:p>
        </w:tc>
        <w:tc>
          <w:tcPr>
            <w:shd w:fill="ffffff" w:val="clear"/>
            <w:vAlign w:val="cente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2.6234e-04</w:t>
            </w:r>
            <w:r w:rsidDel="00000000" w:rsidR="00000000" w:rsidRPr="00000000">
              <w:rPr>
                <w:rtl w:val="0"/>
              </w:rPr>
            </w:r>
          </w:p>
        </w:tc>
        <w:tc>
          <w:tcPr>
            <w:shd w:fill="ffffff" w:val="clear"/>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3.7684e-03</w:t>
            </w:r>
            <w:r w:rsidDel="00000000" w:rsidR="00000000" w:rsidRPr="00000000">
              <w:rPr>
                <w:rtl w:val="0"/>
              </w:rPr>
            </w:r>
          </w:p>
        </w:tc>
        <w:tc>
          <w:tcPr>
            <w:shd w:fill="ffffff" w:val="clea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0.0696</w:t>
            </w:r>
            <w:r w:rsidDel="00000000" w:rsidR="00000000" w:rsidRPr="00000000">
              <w:rPr>
                <w:rtl w:val="0"/>
              </w:rPr>
            </w:r>
          </w:p>
        </w:tc>
        <w:tc>
          <w:tcPr>
            <w:shd w:fill="ffffff" w:val="clear"/>
            <w:vAlign w:val="cente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93.55%</w:t>
            </w:r>
            <w:r w:rsidDel="00000000" w:rsidR="00000000" w:rsidRPr="00000000">
              <w:rPr>
                <w:rtl w:val="0"/>
              </w:rPr>
            </w:r>
          </w:p>
        </w:tc>
        <w:tc>
          <w:tcPr>
            <w:shd w:fill="ffffff" w:val="clear"/>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97.39%</w:t>
            </w: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sdt>
        <w:sdtPr>
          <w:id w:val="783336057"/>
          <w:tag w:val="goog_rdk_1"/>
        </w:sdtPr>
        <w:sdtContent>
          <w:r w:rsidDel="00000000" w:rsidR="00000000" w:rsidRPr="00000000">
            <w:rPr>
              <w:rFonts w:ascii="Caudex" w:cs="Caudex" w:eastAsia="Caudex" w:hAnsi="Caudex"/>
              <w:b w:val="0"/>
              <w:bCs w:val="0"/>
              <w:i w:val="0"/>
              <w:iCs w:val="0"/>
              <w:smallCaps w:val="0"/>
              <w:strike w:val="0"/>
              <w:color w:val="000000"/>
              <w:sz w:val="24"/>
              <w:szCs w:val="24"/>
              <w:u w:val="none"/>
              <w:shd w:fill="auto" w:val="clear"/>
              <w:vertAlign w:val="baseline"/>
              <w:rtl w:val="0"/>
            </w:rPr>
            <w:t xml:space="preserve"> CO₂ multipliers use EDGAR CO₂. Energy multipliers use Eora I-ENERGY and are interpreted as cross-sector diagnostics, not as time-series evidence. The Japan value reported in the main text is the simple average of sectors 6072 and 6073, computed at the multiplier level. The Fig. 3 diagnostic scatter reports the two Japanese sectors separately; the main manuscript therefore describes Japan’s CO₂ per unit of embodied energy as approximately 0.085–0.090 Gg CO₂/TJ. The individual CO₂-per-energy values are 0.0282 (Taiwan), 0.0904 (Japan 6072), 0.0848 (Japan 6073), 0.0874 (Japan average), and 0.0696 (United States). The CO₂ reductions and Japan-average values are taken directly from the scenario output; the sector-specific energy reductions are calculated from the embodied energy multipliers as 1 − </w:t>
          </w:r>
        </w:sdtContent>
      </w:sdt>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_energy(host)/</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_energy(Taiwan).</w:t>
      </w:r>
    </w:p>
    <w:bookmarkStart w:colFirst="0" w:colLast="0" w:name="bookmark=id.9qkn6c15dtai" w:id="3"/>
    <w:bookmarkEnd w:id="3"/>
    <w:p w:rsidR="00000000" w:rsidDel="00000000" w:rsidP="00000000" w:rsidRDefault="00000000" w:rsidRPr="00000000" w14:paraId="0000003E">
      <w:pPr>
        <w:pStyle w:val="Heading2"/>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S2. Upstream category mapping and classification rules</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documents the classification scheme used to aggregate sector-level upstream contributions in Fig. 2 and in the upstream decomposition tables. The decomposition is first computed at the sector level as</w:t>
      </w:r>
    </w:p>
    <w:p w:rsidR="00000000" w:rsidDel="00000000" w:rsidP="00000000" w:rsidRDefault="00000000" w:rsidRPr="00000000" w14:paraId="00000040">
      <w:pPr>
        <w:jc w:val="center"/>
        <w:rPr>
          <w:rFonts w:ascii="Cambria Math" w:cs="Cambria Math" w:eastAsia="Cambria Math" w:hAnsi="Cambria Math"/>
          <w:b w:val="0"/>
          <w:bCs w:val="0"/>
          <w:i w:val="0"/>
          <w:iCs w:val="0"/>
          <w:smallCaps w:val="0"/>
          <w:strike w:val="0"/>
          <w:color w:val="000000"/>
          <w:sz w:val="24"/>
          <w:szCs w:val="24"/>
          <w:u w:val="none"/>
          <w:shd w:fill="auto" w:val="clear"/>
          <w:vertAlign w:val="baseline"/>
        </w:rPr>
      </w:pPr>
      <m:oMath>
        <m:sSub>
          <m:sSubPr>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sSub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c</m:t>
            </m:r>
          </m:e>
          <m: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g</m:t>
            </m:r>
          </m:sub>
        </m:sSub>
        <m:d>
          <m:dPr>
            <m:begChr m:val="("/>
            <m:endChr m:val=")"/>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d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i</m:t>
            </m:r>
            <m:r>
              <w:rPr>
                <w:rFonts w:ascii="Cambria Math" w:cs="Cambria Math" w:eastAsia="Cambria Math" w:hAnsi="Cambria Math"/>
                <w:b w:val="0"/>
                <w:bCs w:val="0"/>
                <w:i w:val="0"/>
                <w:iCs w:val="0"/>
                <w:smallCaps w:val="0"/>
                <w:strike w:val="0"/>
                <w:color w:val="000000"/>
                <w:sz w:val="24"/>
                <w:szCs w:val="24"/>
                <w:u w:val="none"/>
                <w:shd w:fill="auto" w:val="clear"/>
                <w:vertAlign w:val="baseline"/>
              </w:rPr>
              <m:t>→</m:t>
            </m:r>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j</m:t>
            </m:r>
          </m:e>
        </m:d>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 = </m:t>
        </m:r>
        <m:sSub>
          <m:sSubPr>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sSub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q</m:t>
            </m:r>
          </m:e>
          <m: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g,i</m:t>
            </m:r>
          </m:sub>
        </m:s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 </m:t>
        </m:r>
        <m:sSub>
          <m:sSubPr>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sSub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ij</m:t>
            </m:r>
          </m:sub>
        </m:s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m:t>
        </m:r>
      </m:oMath>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 </w:t>
      </w:r>
      <m:oMath>
        <m:sSub>
          <m:sSubPr>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sSub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c</m:t>
            </m:r>
          </m:e>
          <m: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g</m:t>
            </m:r>
          </m:sub>
        </m:sSub>
        <m:d>
          <m:dPr>
            <m:begChr m:val="("/>
            <m:endChr m:val=")"/>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d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i</m:t>
            </m:r>
            <m:r>
              <w:rPr>
                <w:rFonts w:ascii="Cambria Math" w:cs="Cambria Math" w:eastAsia="Cambria Math" w:hAnsi="Cambria Math"/>
                <w:b w:val="0"/>
                <w:bCs w:val="0"/>
                <w:i w:val="0"/>
                <w:iCs w:val="0"/>
                <w:smallCaps w:val="0"/>
                <w:strike w:val="0"/>
                <w:color w:val="000000"/>
                <w:sz w:val="24"/>
                <w:szCs w:val="24"/>
                <w:u w:val="none"/>
                <w:shd w:fill="auto" w:val="clear"/>
                <w:vertAlign w:val="baseline"/>
              </w:rPr>
              <m:t>→</m:t>
            </m:r>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j</m:t>
            </m:r>
          </m:e>
        </m:d>
      </m:oMat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is the contribution of upstream sector </w:t>
      </w:r>
      <m:oMath>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i</m:t>
        </m:r>
      </m:oMat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the embodied multiplier of target sector </w:t>
      </w:r>
      <m:oMath>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j</m:t>
        </m:r>
      </m:oMat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Categories are used only for reporting and interpretation; the sector-level contribution identity is unchanged.</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same classification rule is applied across all targets and supplying countries. Sector categories describe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what kind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upstream input a contribution represents, while supplying country and domestic/foreign status describe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contribution originates. These two dimensions are kept separate.</w:t>
      </w:r>
    </w:p>
    <w:bookmarkStart w:colFirst="0" w:colLast="0" w:name="bookmark=id.aky1fvjevmyx" w:id="4"/>
    <w:bookmarkEnd w:id="4"/>
    <w:p w:rsidR="00000000" w:rsidDel="00000000" w:rsidP="00000000" w:rsidRDefault="00000000" w:rsidRPr="00000000" w14:paraId="00000043">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S2. Upstream contribution category definitions</w:t>
      </w:r>
      <w:r w:rsidDel="00000000" w:rsidR="00000000" w:rsidRPr="00000000">
        <w:rPr>
          <w:rtl w:val="0"/>
        </w:rPr>
      </w:r>
    </w:p>
    <w:tbl>
      <w:tblPr>
        <w:tblStyle w:val="Table2"/>
        <w:tblW w:w="102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2460"/>
        <w:gridCol w:w="3330"/>
        <w:gridCol w:w="4500"/>
        <w:tblGridChange w:id="0">
          <w:tblGrid>
            <w:gridCol w:w="2460"/>
            <w:gridCol w:w="3330"/>
            <w:gridCol w:w="4500"/>
          </w:tblGrid>
        </w:tblGridChange>
      </w:tblGrid>
      <w:tr>
        <w:trPr>
          <w:cantSplit w:val="0"/>
          <w:tblHeader w:val="1"/>
        </w:trPr>
        <w:tc>
          <w:tcPr>
            <w:shd w:fill="ffffff" w:val="clear"/>
            <w:vAlign w:val="cente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Category</w:t>
            </w:r>
            <w:r w:rsidDel="00000000" w:rsidR="00000000" w:rsidRPr="00000000">
              <w:rPr>
                <w:rtl w:val="0"/>
              </w:rPr>
            </w:r>
          </w:p>
        </w:tc>
        <w:tc>
          <w:tcPr>
            <w:shd w:fill="ffffff" w:val="clear"/>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Definition / scope</w:t>
            </w:r>
            <w:r w:rsidDel="00000000" w:rsidR="00000000" w:rsidRPr="00000000">
              <w:rPr>
                <w:rtl w:val="0"/>
              </w:rPr>
            </w:r>
          </w:p>
        </w:tc>
        <w:tc>
          <w:tcPr>
            <w:shd w:fill="ffffff" w:val="clear"/>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Notes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target_direct</w:t>
            </w:r>
            <w:r w:rsidDel="00000000" w:rsidR="00000000" w:rsidRPr="00000000">
              <w:rPr>
                <w:rtl w:val="0"/>
              </w:rPr>
            </w:r>
          </w:p>
        </w:tc>
        <w:tc>
          <w:tcPr>
            <w:shd w:fill="ffffff" w:val="clear"/>
            <w:vAlign w:val="cente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Target sector’s own direct satellite intensity</w:t>
            </w:r>
            <w:r w:rsidDel="00000000" w:rsidR="00000000" w:rsidRPr="00000000">
              <w:rPr>
                <w:rtl w:val="0"/>
              </w:rPr>
            </w:r>
          </w:p>
        </w:tc>
        <w:tc>
          <w:tcPr>
            <w:shd w:fill="ffffff" w:val="clear"/>
            <w:vAlign w:val="center"/>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Used to align the decomposition with Scenario B1a</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target_self_loop</w:t>
            </w:r>
            <w:r w:rsidDel="00000000" w:rsidR="00000000" w:rsidRPr="00000000">
              <w:rPr>
                <w:rtl w:val="0"/>
              </w:rPr>
            </w:r>
          </w:p>
        </w:tc>
        <w:tc>
          <w:tcPr>
            <w:shd w:fill="ffffff" w:val="clear"/>
            <w:vAlign w:val="cente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Recursive same-sector requirement, </w:t>
            </w:r>
            <m:oMath>
              <m:sSub>
                <m:sSubPr>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sSub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q</m:t>
                  </m:r>
                </m:e>
                <m: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g,j</m:t>
                  </m:r>
                </m:sub>
              </m:sSub>
              <m:d>
                <m:dPr>
                  <m:begChr m:val="("/>
                  <m:endChr m:val=")"/>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dPr>
                <m:e>
                  <m:sSub>
                    <m:sSubPr>
                      <m:ctrlPr>
                        <w:rPr>
                          <w:rFonts w:ascii="Cambria Math" w:cs="Cambria Math" w:eastAsia="Cambria Math" w:hAnsi="Cambria Math"/>
                          <w:b w:val="0"/>
                          <w:bCs w:val="0"/>
                          <w:i w:val="0"/>
                          <w:iCs w:val="0"/>
                          <w:smallCaps w:val="0"/>
                          <w:strike w:val="0"/>
                          <w:color w:val="000000"/>
                          <w:sz w:val="24"/>
                          <w:szCs w:val="24"/>
                          <w:u w:val="none"/>
                          <w:shd w:fill="auto" w:val="clear"/>
                          <w:vertAlign w:val="baseline"/>
                        </w:rPr>
                      </m:ctrlPr>
                    </m:sSubPr>
                    <m:e>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L</m:t>
                      </m:r>
                    </m:e>
                    <m: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jj</m:t>
                      </m:r>
                    </m:sub>
                  </m:sSub>
                  <m:r>
                    <w:rPr>
                      <w:rFonts w:ascii="Cambria Math" w:cs="Cambria Math" w:eastAsia="Cambria Math" w:hAnsi="Cambria Math"/>
                      <w:b w:val="0"/>
                      <w:bCs w:val="0"/>
                      <w:i w:val="0"/>
                      <w:iCs w:val="0"/>
                      <w:smallCaps w:val="0"/>
                      <w:strike w:val="0"/>
                      <w:color w:val="000000"/>
                      <w:sz w:val="24"/>
                      <w:szCs w:val="24"/>
                      <w:u w:val="none"/>
                      <w:shd w:fill="auto" w:val="clear"/>
                      <w:vertAlign w:val="baseline"/>
                    </w:rPr>
                    <m:t xml:space="preserve">−1</m:t>
                  </m:r>
                </m:e>
              </m:d>
            </m:oMath>
            <w:r w:rsidDel="00000000" w:rsidR="00000000" w:rsidRPr="00000000">
              <w:rPr>
                <w:rtl w:val="0"/>
              </w:rPr>
            </w:r>
          </w:p>
        </w:tc>
        <w:tc>
          <w:tcPr>
            <w:shd w:fill="ffffff" w:val="clear"/>
            <w:vAlign w:val="cente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Reported separately from target direct contribution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electricity</w:t>
            </w:r>
            <w:r w:rsidDel="00000000" w:rsidR="00000000" w:rsidRPr="00000000">
              <w:rPr>
                <w:rtl w:val="0"/>
              </w:rPr>
            </w:r>
          </w:p>
        </w:tc>
        <w:tc>
          <w:tcPr>
            <w:shd w:fill="ffffff" w:val="clear"/>
            <w:vAlign w:val="cente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Electric power generation, transmission, distribution, electric utilities</w:t>
            </w:r>
            <w:r w:rsidDel="00000000" w:rsidR="00000000" w:rsidRPr="00000000">
              <w:rPr>
                <w:rtl w:val="0"/>
              </w:rPr>
            </w:r>
          </w:p>
        </w:tc>
        <w:tc>
          <w:tcPr>
            <w:shd w:fill="ffffff" w:val="clea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Excludes false positives from electrical equipment/electrical machinery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other_utilities_gas_steam_water</w:t>
            </w:r>
            <w:r w:rsidDel="00000000" w:rsidR="00000000" w:rsidRPr="00000000">
              <w:rPr>
                <w:rtl w:val="0"/>
              </w:rPr>
            </w:r>
          </w:p>
        </w:tc>
        <w:tc>
          <w:tcPr>
            <w:shd w:fill="ffffff" w:val="clear"/>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Gas supply, steam, water supply, sewerage, waste management, utilities</w:t>
            </w:r>
            <w:r w:rsidDel="00000000" w:rsidR="00000000" w:rsidRPr="00000000">
              <w:rPr>
                <w:rtl w:val="0"/>
              </w:rPr>
            </w:r>
          </w:p>
        </w:tc>
        <w:tc>
          <w:tcPr>
            <w:shd w:fill="ffffff" w:val="clea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Fixed category assignment; sectors flagged by the audit as utility-adjacent are retained in identified-other and do not alter the fixed Fig. 2 shares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iron_steel</w:t>
            </w:r>
            <w:r w:rsidDel="00000000" w:rsidR="00000000" w:rsidRPr="00000000">
              <w:rPr>
                <w:rtl w:val="0"/>
              </w:rPr>
            </w:r>
          </w:p>
        </w:tc>
        <w:tc>
          <w:tcPr>
            <w:shd w:fill="ffffff" w:val="clea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Iron, steel, ferroalloys, pig iron, crude steel, blast furnace</w:t>
            </w:r>
            <w:r w:rsidDel="00000000" w:rsidR="00000000" w:rsidRPr="00000000">
              <w:rPr>
                <w:rtl w:val="0"/>
              </w:rPr>
            </w:r>
          </w:p>
        </w:tc>
        <w:tc>
          <w:tcPr>
            <w:shd w:fill="ffffff" w:val="clea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Final-product metal goods are reviewed manually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non_ferrous_metals</w:t>
            </w:r>
            <w:r w:rsidDel="00000000" w:rsidR="00000000" w:rsidRPr="00000000">
              <w:rPr>
                <w:rtl w:val="0"/>
              </w:rPr>
            </w:r>
          </w:p>
        </w:tc>
        <w:tc>
          <w:tcPr>
            <w:shd w:fill="ffffff" w:val="clear"/>
            <w:vAlign w:val="cente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Aluminum/aluminium, copper, zinc, nickel, lead, tin, non-ferrous metals, precious metals</w:t>
            </w:r>
            <w:r w:rsidDel="00000000" w:rsidR="00000000" w:rsidRPr="00000000">
              <w:rPr>
                <w:rtl w:val="0"/>
              </w:rPr>
            </w:r>
          </w:p>
        </w:tc>
        <w:tc>
          <w:tcPr>
            <w:shd w:fill="ffffff" w:val="clea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Reported separately in source mapping; can be grouped into metals in figures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chemicals_petrochem</w:t>
            </w:r>
            <w:r w:rsidDel="00000000" w:rsidR="00000000" w:rsidRPr="00000000">
              <w:rPr>
                <w:rtl w:val="0"/>
              </w:rPr>
            </w:r>
          </w:p>
        </w:tc>
        <w:tc>
          <w:tcPr>
            <w:shd w:fill="ffffff" w:val="clear"/>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Chemicals, petrochemicals, petroleum refining, coke, plastics, resins, rubber, fertilizers, synthetic materials</w:t>
            </w:r>
            <w:r w:rsidDel="00000000" w:rsidR="00000000" w:rsidRPr="00000000">
              <w:rPr>
                <w:rtl w:val="0"/>
              </w:rPr>
            </w:r>
          </w:p>
        </w:tc>
        <w:tc>
          <w:tcPr>
            <w:shd w:fill="ffffff" w:val="clea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Petroleum refining and petrochemical raw materials are important in the Energy decomposition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coal_mining_fossil</w:t>
            </w:r>
            <w:r w:rsidDel="00000000" w:rsidR="00000000" w:rsidRPr="00000000">
              <w:rPr>
                <w:rtl w:val="0"/>
              </w:rPr>
            </w:r>
          </w:p>
        </w:tc>
        <w:tc>
          <w:tcPr>
            <w:shd w:fill="ffffff" w:val="clea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Coal mining, crude oil, natural gas extraction, fossil extraction, lignite</w:t>
            </w:r>
            <w:r w:rsidDel="00000000" w:rsidR="00000000" w:rsidRPr="00000000">
              <w:rPr>
                <w:rtl w:val="0"/>
              </w:rPr>
            </w:r>
          </w:p>
        </w:tc>
        <w:tc>
          <w:tcPr>
            <w:shd w:fill="ffffff" w:val="clea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Includes coal products where relevant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other_electronics_machinery</w:t>
            </w:r>
            <w:r w:rsidDel="00000000" w:rsidR="00000000" w:rsidRPr="00000000">
              <w:rPr>
                <w:rtl w:val="0"/>
              </w:rPr>
            </w:r>
          </w:p>
        </w:tc>
        <w:tc>
          <w:tcPr>
            <w:shd w:fill="ffffff" w:val="clea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Electronics, semiconductor-related components, integrated circuits, computers, machinery, instruments, precision/optical devices</w:t>
            </w:r>
            <w:r w:rsidDel="00000000" w:rsidR="00000000" w:rsidRPr="00000000">
              <w:rPr>
                <w:rtl w:val="0"/>
              </w:rPr>
            </w:r>
          </w:p>
        </w:tc>
        <w:tc>
          <w:tcPr>
            <w:shd w:fill="ffffff" w:val="clea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Target sector itself is excluded and handled as target direct / self-loop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services_trade</w:t>
            </w:r>
            <w:r w:rsidDel="00000000" w:rsidR="00000000" w:rsidRPr="00000000">
              <w:rPr>
                <w:rtl w:val="0"/>
              </w:rPr>
            </w:r>
          </w:p>
        </w:tc>
        <w:tc>
          <w:tcPr>
            <w:shd w:fill="ffffff" w:val="clea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Wholesale, retail, trade, transport, logistics, finance, real estate, business services, R&amp;D, professional services, administrative services, communication</w:t>
            </w:r>
            <w:r w:rsidDel="00000000" w:rsidR="00000000" w:rsidRPr="00000000">
              <w:rPr>
                <w:rtl w:val="0"/>
              </w:rPr>
            </w:r>
          </w:p>
        </w:tc>
        <w:tc>
          <w:tcPr>
            <w:shd w:fill="ffffff" w:val="clea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Services/trade is substantive, not residual</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domestic_other_identified</w:t>
            </w:r>
            <w:r w:rsidDel="00000000" w:rsidR="00000000" w:rsidRPr="00000000">
              <w:rPr>
                <w:rtl w:val="0"/>
              </w:rPr>
            </w:r>
          </w:p>
        </w:tc>
        <w:tc>
          <w:tcPr>
            <w:shd w:fill="ffffff" w:val="clea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Domestic identified sectors not otherwise classified</w:t>
            </w:r>
            <w:r w:rsidDel="00000000" w:rsidR="00000000" w:rsidRPr="00000000">
              <w:rPr>
                <w:rtl w:val="0"/>
              </w:rPr>
            </w:r>
          </w:p>
        </w:tc>
        <w:tc>
          <w:tcPr>
            <w:shd w:fill="ffffff" w:val="clea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Broad category; not automatically an artifact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foreign_upstream_other</w:t>
            </w:r>
            <w:r w:rsidDel="00000000" w:rsidR="00000000" w:rsidRPr="00000000">
              <w:rPr>
                <w:rtl w:val="0"/>
              </w:rPr>
            </w:r>
          </w:p>
        </w:tc>
        <w:tc>
          <w:tcPr>
            <w:shd w:fill="ffffff" w:val="clear"/>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Foreign identified sectors not otherwise classified</w:t>
            </w:r>
            <w:r w:rsidDel="00000000" w:rsidR="00000000" w:rsidRPr="00000000">
              <w:rPr>
                <w:rtl w:val="0"/>
              </w:rPr>
            </w:r>
          </w:p>
        </w:tc>
        <w:tc>
          <w:tcPr>
            <w:shd w:fill="ffffff" w:val="clear"/>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Foreign identified-other category (about 2.2% of the Taiwan CO₂ multiplier; itemized in Table S3c). This category is not identical to the Fig. 2 display segment “Foreign upstream”, which aggregates all non-pseudo foreign contributions across sector categories. Row-level supplementary data retain each contributor’s original sector label, country, and value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pseudo_residual_balancing</w:t>
            </w:r>
            <w:r w:rsidDel="00000000" w:rsidR="00000000" w:rsidRPr="00000000">
              <w:rPr>
                <w:rtl w:val="0"/>
              </w:rPr>
            </w:r>
          </w:p>
        </w:tc>
        <w:tc>
          <w:tcPr>
            <w:shd w:fill="ffffff" w:val="clea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Statistical discrepancy, balancing, dummy, unspecified, residual, re-export, adjustment, and not-elsewhere-classified sectors identified by the keyword rule</w:t>
            </w:r>
            <w:r w:rsidDel="00000000" w:rsidR="00000000" w:rsidRPr="00000000">
              <w:rPr>
                <w:rtl w:val="0"/>
              </w:rPr>
            </w:r>
          </w:p>
        </w:tc>
        <w:tc>
          <w:tcPr>
            <w:shd w:fill="ffffff" w:val="clear"/>
            <w:vAlign w:val="cente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main residual-account diagnostic category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unclassified_manual_check</w:t>
            </w:r>
            <w:r w:rsidDel="00000000" w:rsidR="00000000" w:rsidRPr="00000000">
              <w:rPr>
                <w:rtl w:val="0"/>
              </w:rPr>
            </w:r>
          </w:p>
        </w:tc>
        <w:tc>
          <w:tcPr>
            <w:shd w:fill="ffffff" w:val="clear"/>
            <w:vAlign w:val="cente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Sectors requiring manual review before final figure generation</w:t>
            </w:r>
            <w:r w:rsidDel="00000000" w:rsidR="00000000" w:rsidRPr="00000000">
              <w:rPr>
                <w:rtl w:val="0"/>
              </w:rPr>
            </w:r>
          </w:p>
        </w:tc>
        <w:tc>
          <w:tcPr>
            <w:shd w:fill="ffffff" w:val="clear"/>
            <w:vAlign w:val="cente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Entries with non-negligible contributions are flagged and reviewed manually before final figure use</w:t>
            </w:r>
            <w:r w:rsidDel="00000000" w:rsidR="00000000" w:rsidRPr="00000000">
              <w:rPr>
                <w:rtl w:val="0"/>
              </w:rPr>
            </w:r>
          </w:p>
        </w:tc>
      </w:tr>
    </w:tbl>
    <w:bookmarkStart w:colFirst="0" w:colLast="0" w:name="bookmark=id.z6768vnkbe0w" w:id="5"/>
    <w:bookmarkEnd w:id="5"/>
    <w:p w:rsidR="00000000" w:rsidDel="00000000" w:rsidP="00000000" w:rsidRDefault="00000000" w:rsidRPr="00000000" w14:paraId="00000071">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Supplementary Data S2. Sector-level category assignment file for top contributors</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sector-level category assignments for the top contributors are provided in the Data S2 sheet of Online Resource 2 (ESM_2.xlsx):</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 S2 (upstream_category_assignment)</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Key columns include:</w:t>
      </w:r>
    </w:p>
    <w:tbl>
      <w:tblPr>
        <w:tblStyle w:val="Table3"/>
        <w:tblW w:w="102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3975"/>
        <w:gridCol w:w="6300"/>
        <w:tblGridChange w:id="0">
          <w:tblGrid>
            <w:gridCol w:w="3975"/>
            <w:gridCol w:w="6300"/>
          </w:tblGrid>
        </w:tblGridChange>
      </w:tblGrid>
      <w:tr>
        <w:trPr>
          <w:cantSplit w:val="0"/>
          <w:tblHeader w:val="1"/>
        </w:trPr>
        <w:tc>
          <w:tcPr>
            <w:shd w:fill="ffffff" w:val="clea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Column</w:t>
            </w:r>
            <w:r w:rsidDel="00000000" w:rsidR="00000000" w:rsidRPr="00000000">
              <w:rPr>
                <w:rtl w:val="0"/>
              </w:rPr>
            </w:r>
          </w:p>
        </w:tc>
        <w:tc>
          <w:tcPr>
            <w:shd w:fill="ffffff" w:val="clea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Description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contributor_index</w:t>
            </w:r>
            <w:r w:rsidDel="00000000" w:rsidR="00000000" w:rsidRPr="00000000">
              <w:rPr>
                <w:rtl w:val="0"/>
              </w:rPr>
            </w:r>
          </w:p>
        </w:tc>
        <w:tc>
          <w:tcPr>
            <w:shd w:fill="ffffff" w:val="clear"/>
            <w:vAlign w:val="cente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Eora global sector index</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contributor_country</w:t>
            </w:r>
            <w:r w:rsidDel="00000000" w:rsidR="00000000" w:rsidRPr="00000000">
              <w:rPr>
                <w:rtl w:val="0"/>
              </w:rPr>
            </w:r>
          </w:p>
        </w:tc>
        <w:tc>
          <w:tcPr>
            <w:shd w:fill="ffffff" w:val="clear"/>
            <w:vAlign w:val="center"/>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Contributor country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contributor_sector_name</w:t>
            </w:r>
            <w:r w:rsidDel="00000000" w:rsidR="00000000" w:rsidRPr="00000000">
              <w:rPr>
                <w:rtl w:val="0"/>
              </w:rPr>
            </w:r>
          </w:p>
        </w:tc>
        <w:tc>
          <w:tcPr>
            <w:shd w:fill="ffffff" w:val="clear"/>
            <w:vAlign w:val="cente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Native Eora sector label</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target_label</w:t>
            </w:r>
            <w:r w:rsidDel="00000000" w:rsidR="00000000" w:rsidRPr="00000000">
              <w:rPr>
                <w:rtl w:val="0"/>
              </w:rPr>
            </w:r>
          </w:p>
        </w:tc>
        <w:tc>
          <w:tcPr>
            <w:shd w:fill="ffffff" w:val="clear"/>
            <w:vAlign w:val="cente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 / Japan 6072 / Japan 6073 / Japan average / United States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metric</w:t>
            </w:r>
            <w:r w:rsidDel="00000000" w:rsidR="00000000" w:rsidRPr="00000000">
              <w:rPr>
                <w:rtl w:val="0"/>
              </w:rPr>
            </w:r>
          </w:p>
        </w:tc>
        <w:tc>
          <w:tcPr>
            <w:shd w:fill="ffffff" w:val="cle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 or Energy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initial_category</w:t>
            </w:r>
            <w:r w:rsidDel="00000000" w:rsidR="00000000" w:rsidRPr="00000000">
              <w:rPr>
                <w:rtl w:val="0"/>
              </w:rPr>
            </w:r>
          </w:p>
        </w:tc>
        <w:tc>
          <w:tcPr>
            <w:shd w:fill="ffffff" w:val="clea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Automated category assignment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manual_category</w:t>
            </w:r>
            <w:r w:rsidDel="00000000" w:rsidR="00000000" w:rsidRPr="00000000">
              <w:rPr>
                <w:rtl w:val="0"/>
              </w:rPr>
            </w:r>
          </w:p>
        </w:tc>
        <w:tc>
          <w:tcPr>
            <w:shd w:fill="ffffff" w:val="clear"/>
            <w:vAlign w:val="cente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Manual category after review</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domestic_or_foreign</w:t>
            </w:r>
            <w:r w:rsidDel="00000000" w:rsidR="00000000" w:rsidRPr="00000000">
              <w:rPr>
                <w:rtl w:val="0"/>
              </w:rPr>
            </w:r>
          </w:p>
        </w:tc>
        <w:tc>
          <w:tcPr>
            <w:shd w:fill="ffffff" w:val="clear"/>
            <w:vAlign w:val="center"/>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Domestic if contributor country equals target country; foreign otherwise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contributor_country_group</w:t>
            </w:r>
            <w:r w:rsidDel="00000000" w:rsidR="00000000" w:rsidRPr="00000000">
              <w:rPr>
                <w:rtl w:val="0"/>
              </w:rPr>
            </w:r>
          </w:p>
        </w:tc>
        <w:tc>
          <w:tcPr>
            <w:shd w:fill="ffffff" w:val="clear"/>
            <w:vAlign w:val="center"/>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Mainland China, Hong Kong, EU27, Korea, Singapore, ASEAN, Rest of world, etc.</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classification_keywords_matched</w:t>
            </w:r>
            <w:r w:rsidDel="00000000" w:rsidR="00000000" w:rsidRPr="00000000">
              <w:rPr>
                <w:rtl w:val="0"/>
              </w:rPr>
            </w:r>
          </w:p>
        </w:tc>
        <w:tc>
          <w:tcPr>
            <w:shd w:fill="ffffff" w:val="clea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Keywords used for automated classification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pseudo_residual_flag</w:t>
            </w:r>
            <w:r w:rsidDel="00000000" w:rsidR="00000000" w:rsidRPr="00000000">
              <w:rPr>
                <w:rtl w:val="0"/>
              </w:rPr>
            </w:r>
          </w:p>
        </w:tc>
        <w:tc>
          <w:tcPr>
            <w:shd w:fill="ffffff" w:val="clear"/>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Whether sector belongs to strict pseudo/residual/balancing group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electricity_false_positive_flag</w:t>
            </w:r>
            <w:r w:rsidDel="00000000" w:rsidR="00000000" w:rsidRPr="00000000">
              <w:rPr>
                <w:rtl w:val="0"/>
              </w:rPr>
            </w:r>
          </w:p>
        </w:tc>
        <w:tc>
          <w:tcPr>
            <w:shd w:fill="ffffff" w:val="clear"/>
            <w:vAlign w:val="cente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Whether electricity keyword was excluded as false positive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manual_review_required</w:t>
            </w:r>
            <w:r w:rsidDel="00000000" w:rsidR="00000000" w:rsidRPr="00000000">
              <w:rPr>
                <w:rtl w:val="0"/>
              </w:rPr>
            </w:r>
          </w:p>
        </w:tc>
        <w:tc>
          <w:tcPr>
            <w:shd w:fill="ffffff" w:val="clear"/>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Whether manual review was required</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manual_note</w:t>
            </w:r>
            <w:r w:rsidDel="00000000" w:rsidR="00000000" w:rsidRPr="00000000">
              <w:rPr>
                <w:rtl w:val="0"/>
              </w:rPr>
            </w:r>
          </w:p>
        </w:tc>
        <w:tc>
          <w:tcPr>
            <w:shd w:fill="ffffff" w:val="clea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Reason for manual classification or reclassification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contribution_value</w:t>
            </w:r>
            <w:r w:rsidDel="00000000" w:rsidR="00000000" w:rsidRPr="00000000">
              <w:rPr>
                <w:rtl w:val="0"/>
              </w:rPr>
            </w:r>
          </w:p>
        </w:tc>
        <w:tc>
          <w:tcPr>
            <w:shd w:fill="ffffff" w:val="clea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Signed contribution to multiplier</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share_of_multiplier</w:t>
            </w:r>
            <w:r w:rsidDel="00000000" w:rsidR="00000000" w:rsidRPr="00000000">
              <w:rPr>
                <w:rtl w:val="0"/>
              </w:rPr>
            </w:r>
          </w:p>
        </w:tc>
        <w:tc>
          <w:tcPr>
            <w:shd w:fill="ffffff" w:val="cle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Signed contribution share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abs_contribution_value</w:t>
            </w:r>
            <w:r w:rsidDel="00000000" w:rsidR="00000000" w:rsidRPr="00000000">
              <w:rPr>
                <w:rtl w:val="0"/>
              </w:rPr>
            </w:r>
          </w:p>
        </w:tc>
        <w:tc>
          <w:tcPr>
            <w:shd w:fill="ffffff" w:val="cle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Absolute contribution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share_of_abs_contributions</w:t>
            </w:r>
            <w:r w:rsidDel="00000000" w:rsidR="00000000" w:rsidRPr="00000000">
              <w:rPr>
                <w:rtl w:val="0"/>
              </w:rPr>
            </w:r>
          </w:p>
        </w:tc>
        <w:tc>
          <w:tcPr>
            <w:shd w:fill="ffffff" w:val="cle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Absolute contribution share</w:t>
            </w: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category assignment matters because Fig. 2 tests whether the Scenario A multiplier contrast is associated with identifiable MRIO-represented upstream sectors rather than residual or unspecified accounts. Pseudo/residual, unclassified, and negative-contribution diagnostics are reported in Table S3d. The top identified-other contributors are listed in Table S3c, with broader top-contributor coverage provided in Supplementary Data S2.</w:t>
      </w:r>
    </w:p>
    <w:p w:rsidR="00000000" w:rsidDel="00000000" w:rsidP="00000000" w:rsidRDefault="00000000" w:rsidRPr="00000000" w14:paraId="0000009C">
      <w:pPr>
        <w:pStyle w:val="Heading2"/>
        <w:spacing w:after="120" w:before="240" w:lineRule="auto"/>
        <w:jc w:val="both"/>
        <w:rPr/>
      </w:pPr>
      <w:r w:rsidDel="00000000" w:rsidR="00000000" w:rsidRPr="00000000">
        <w:br w:type="page"/>
      </w:r>
      <w:r w:rsidDel="00000000" w:rsidR="00000000" w:rsidRPr="00000000">
        <w:rPr>
          <w:rtl w:val="0"/>
        </w:rPr>
      </w:r>
    </w:p>
    <w:bookmarkStart w:colFirst="0" w:colLast="0" w:name="bookmark=id.6342lljqil3f" w:id="6"/>
    <w:bookmarkEnd w:id="6"/>
    <w:p w:rsidR="00000000" w:rsidDel="00000000" w:rsidP="00000000" w:rsidRDefault="00000000" w:rsidRPr="00000000" w14:paraId="0000009D">
      <w:pPr>
        <w:pStyle w:val="Heading2"/>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S3. Upstream decomposition audit and residual-account diagnostics</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reports audit diagnostics for the upstream decomposition used in Fig. 2. The purpose is to verify that the embodied-multiplier decompositions reconcile with the reference multipliers and that the Taiwan–Japan–United States multiplier contrast is not driven primarily by pseudo, residual, or balancing accounts.</w:t>
      </w:r>
    </w:p>
    <w:bookmarkStart w:colFirst="0" w:colLast="0" w:name="bookmark=id.dg9sqtk328z1" w:id="7"/>
    <w:bookmarkEnd w:id="7"/>
    <w:p w:rsidR="00000000" w:rsidDel="00000000" w:rsidP="00000000" w:rsidRDefault="00000000" w:rsidRPr="00000000" w14:paraId="0000009F">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S3a. Reconciliation of upstream decomposition to reference multipliers</w:t>
      </w:r>
      <w:r w:rsidDel="00000000" w:rsidR="00000000" w:rsidRPr="00000000">
        <w:rPr>
          <w:rtl w:val="0"/>
        </w:rPr>
      </w:r>
    </w:p>
    <w:tbl>
      <w:tblPr>
        <w:tblStyle w:val="Table4"/>
        <w:tblW w:w="1009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1860"/>
        <w:gridCol w:w="1230"/>
        <w:gridCol w:w="1575"/>
        <w:gridCol w:w="1620"/>
        <w:gridCol w:w="1305"/>
        <w:gridCol w:w="1500"/>
        <w:gridCol w:w="1005"/>
        <w:tblGridChange w:id="0">
          <w:tblGrid>
            <w:gridCol w:w="1860"/>
            <w:gridCol w:w="1230"/>
            <w:gridCol w:w="1575"/>
            <w:gridCol w:w="1620"/>
            <w:gridCol w:w="1305"/>
            <w:gridCol w:w="1500"/>
            <w:gridCol w:w="1005"/>
          </w:tblGrid>
        </w:tblGridChange>
      </w:tblGrid>
      <w:tr>
        <w:trPr>
          <w:cantSplit w:val="0"/>
          <w:tblHeader w:val="1"/>
        </w:trPr>
        <w:tc>
          <w:tcPr>
            <w:shd w:fill="ffffff" w:val="clear"/>
            <w:vAlign w:val="cente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Target</w:t>
            </w:r>
            <w:r w:rsidDel="00000000" w:rsidR="00000000" w:rsidRPr="00000000">
              <w:rPr>
                <w:rtl w:val="0"/>
              </w:rPr>
            </w:r>
          </w:p>
        </w:tc>
        <w:tc>
          <w:tcPr>
            <w:shd w:fill="ffffff" w:val="clea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Indicator</w:t>
            </w:r>
            <w:r w:rsidDel="00000000" w:rsidR="00000000" w:rsidRPr="00000000">
              <w:rPr>
                <w:rtl w:val="0"/>
              </w:rPr>
            </w:r>
          </w:p>
        </w:tc>
        <w:tc>
          <w:tcPr>
            <w:shd w:fill="ffffff" w:val="clear"/>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Reference multiplier</w:t>
            </w:r>
            <w:r w:rsidDel="00000000" w:rsidR="00000000" w:rsidRPr="00000000">
              <w:rPr>
                <w:rtl w:val="0"/>
              </w:rPr>
            </w:r>
          </w:p>
        </w:tc>
        <w:tc>
          <w:tcPr>
            <w:shd w:fill="ffffff" w:val="clea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Sum of sector-level contributions</w:t>
            </w:r>
            <w:r w:rsidDel="00000000" w:rsidR="00000000" w:rsidRPr="00000000">
              <w:rPr>
                <w:rtl w:val="0"/>
              </w:rPr>
            </w:r>
          </w:p>
        </w:tc>
        <w:tc>
          <w:tcPr>
            <w:shd w:fill="ffffff" w:val="clear"/>
            <w:vAlign w:val="center"/>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Absolute error</w:t>
            </w:r>
            <w:r w:rsidDel="00000000" w:rsidR="00000000" w:rsidRPr="00000000">
              <w:rPr>
                <w:rtl w:val="0"/>
              </w:rPr>
            </w:r>
          </w:p>
        </w:tc>
        <w:tc>
          <w:tcPr>
            <w:shd w:fill="ffffff" w:val="cle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Relative error</w:t>
            </w:r>
            <w:r w:rsidDel="00000000" w:rsidR="00000000" w:rsidRPr="00000000">
              <w:rPr>
                <w:rtl w:val="0"/>
              </w:rPr>
            </w:r>
          </w:p>
        </w:tc>
        <w:tc>
          <w:tcPr>
            <w:shd w:fill="ffffff" w:val="clear"/>
            <w:vAlign w:val="cente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Pass/fail</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 11348</w:t>
            </w:r>
            <w:r w:rsidDel="00000000" w:rsidR="00000000" w:rsidRPr="00000000">
              <w:rPr>
                <w:rtl w:val="0"/>
              </w:rPr>
            </w:r>
          </w:p>
        </w:tc>
        <w:tc>
          <w:tcPr>
            <w:shd w:fill="ffffff" w:val="clear"/>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4.067473e-03</w:t>
            </w:r>
            <w:r w:rsidDel="00000000" w:rsidR="00000000" w:rsidRPr="00000000">
              <w:rPr>
                <w:rtl w:val="0"/>
              </w:rPr>
            </w:r>
          </w:p>
        </w:tc>
        <w:tc>
          <w:tcPr>
            <w:shd w:fill="ffffff" w:val="clear"/>
            <w:vAlign w:val="cente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4.067473e-03</w:t>
            </w:r>
            <w:r w:rsidDel="00000000" w:rsidR="00000000" w:rsidRPr="00000000">
              <w:rPr>
                <w:rtl w:val="0"/>
              </w:rPr>
            </w:r>
          </w:p>
        </w:tc>
        <w:tc>
          <w:tcPr>
            <w:shd w:fill="ffffff" w:val="clea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4.3e-18</w:t>
            </w:r>
            <w:r w:rsidDel="00000000" w:rsidR="00000000" w:rsidRPr="00000000">
              <w:rPr>
                <w:rtl w:val="0"/>
              </w:rPr>
            </w:r>
          </w:p>
        </w:tc>
        <w:tc>
          <w:tcPr>
            <w:shd w:fill="ffffff" w:val="clear"/>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6072</w:t>
            </w:r>
            <w:r w:rsidDel="00000000" w:rsidR="00000000" w:rsidRPr="00000000">
              <w:rPr>
                <w:rtl w:val="0"/>
              </w:rPr>
            </w:r>
          </w:p>
        </w:tc>
        <w:tc>
          <w:tcPr>
            <w:shd w:fill="ffffff" w:val="cle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4.327722e-04</w:t>
            </w:r>
            <w:r w:rsidDel="00000000" w:rsidR="00000000" w:rsidRPr="00000000">
              <w:rPr>
                <w:rtl w:val="0"/>
              </w:rPr>
            </w:r>
          </w:p>
        </w:tc>
        <w:tc>
          <w:tcPr>
            <w:shd w:fill="ffffff" w:val="cle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4.327722e-04</w:t>
            </w:r>
            <w:r w:rsidDel="00000000" w:rsidR="00000000" w:rsidRPr="00000000">
              <w:rPr>
                <w:rtl w:val="0"/>
              </w:rPr>
            </w:r>
          </w:p>
        </w:tc>
        <w:tc>
          <w:tcPr>
            <w:shd w:fill="ffffff" w:val="clear"/>
            <w:vAlign w:val="cente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9.8e-19</w:t>
            </w:r>
            <w:r w:rsidDel="00000000" w:rsidR="00000000" w:rsidRPr="00000000">
              <w:rPr>
                <w:rtl w:val="0"/>
              </w:rPr>
            </w:r>
          </w:p>
        </w:tc>
        <w:tc>
          <w:tcPr>
            <w:shd w:fill="ffffff" w:val="cle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6073</w:t>
            </w:r>
            <w:r w:rsidDel="00000000" w:rsidR="00000000" w:rsidRPr="00000000">
              <w:rPr>
                <w:rtl w:val="0"/>
              </w:rPr>
            </w:r>
          </w:p>
        </w:tc>
        <w:tc>
          <w:tcPr>
            <w:shd w:fill="ffffff" w:val="clear"/>
            <w:vAlign w:val="cente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4.687278e-04</w:t>
            </w:r>
            <w:r w:rsidDel="00000000" w:rsidR="00000000" w:rsidRPr="00000000">
              <w:rPr>
                <w:rtl w:val="0"/>
              </w:rPr>
            </w:r>
          </w:p>
        </w:tc>
        <w:tc>
          <w:tcPr>
            <w:shd w:fill="ffffff" w:val="clear"/>
            <w:vAlign w:val="center"/>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4.687278e-04</w:t>
            </w:r>
            <w:r w:rsidDel="00000000" w:rsidR="00000000" w:rsidRPr="00000000">
              <w:rPr>
                <w:rtl w:val="0"/>
              </w:rPr>
            </w:r>
          </w:p>
        </w:tc>
        <w:tc>
          <w:tcPr>
            <w:shd w:fill="ffffff" w:val="clea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1.2e-18</w:t>
            </w:r>
            <w:r w:rsidDel="00000000" w:rsidR="00000000" w:rsidRPr="00000000">
              <w:rPr>
                <w:rtl w:val="0"/>
              </w:rPr>
            </w:r>
          </w:p>
        </w:tc>
        <w:tc>
          <w:tcPr>
            <w:shd w:fill="ffffff" w:val="clea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4.507500e-04</w:t>
            </w:r>
            <w:r w:rsidDel="00000000" w:rsidR="00000000" w:rsidRPr="00000000">
              <w:rPr>
                <w:rtl w:val="0"/>
              </w:rPr>
            </w:r>
          </w:p>
        </w:tc>
        <w:tc>
          <w:tcPr>
            <w:shd w:fill="ffffff" w:val="clear"/>
            <w:vAlign w:val="cente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4.507500e-04</w:t>
            </w:r>
            <w:r w:rsidDel="00000000" w:rsidR="00000000" w:rsidRPr="00000000">
              <w:rPr>
                <w:rtl w:val="0"/>
              </w:rPr>
            </w:r>
          </w:p>
        </w:tc>
        <w:tc>
          <w:tcPr>
            <w:shd w:fill="ffffff" w:val="clear"/>
            <w:vAlign w:val="cente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1.1e-18</w:t>
            </w:r>
            <w:r w:rsidDel="00000000" w:rsidR="00000000" w:rsidRPr="00000000">
              <w:rPr>
                <w:rtl w:val="0"/>
              </w:rPr>
            </w:r>
          </w:p>
        </w:tc>
        <w:tc>
          <w:tcPr>
            <w:shd w:fill="ffffff" w:val="clea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 13452</w:t>
            </w:r>
            <w:r w:rsidDel="00000000" w:rsidR="00000000" w:rsidRPr="00000000">
              <w:rPr>
                <w:rtl w:val="0"/>
              </w:rPr>
            </w:r>
          </w:p>
        </w:tc>
        <w:tc>
          <w:tcPr>
            <w:shd w:fill="ffffff" w:val="clear"/>
            <w:vAlign w:val="cente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2.623369e-04</w:t>
            </w:r>
            <w:r w:rsidDel="00000000" w:rsidR="00000000" w:rsidRPr="00000000">
              <w:rPr>
                <w:rtl w:val="0"/>
              </w:rPr>
            </w:r>
          </w:p>
        </w:tc>
        <w:tc>
          <w:tcPr>
            <w:shd w:fill="ffffff" w:val="clear"/>
            <w:vAlign w:val="cente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2.623369e-04</w:t>
            </w:r>
            <w:r w:rsidDel="00000000" w:rsidR="00000000" w:rsidRPr="00000000">
              <w:rPr>
                <w:rtl w:val="0"/>
              </w:rPr>
            </w:r>
          </w:p>
        </w:tc>
        <w:tc>
          <w:tcPr>
            <w:shd w:fill="ffffff" w:val="clear"/>
            <w:vAlign w:val="center"/>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4.3e-19</w:t>
            </w:r>
            <w:r w:rsidDel="00000000" w:rsidR="00000000" w:rsidRPr="00000000">
              <w:rPr>
                <w:rtl w:val="0"/>
              </w:rPr>
            </w:r>
          </w:p>
        </w:tc>
        <w:tc>
          <w:tcPr>
            <w:shd w:fill="ffffff" w:val="clea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 11348</w:t>
            </w:r>
            <w:r w:rsidDel="00000000" w:rsidR="00000000" w:rsidRPr="00000000">
              <w:rPr>
                <w:rtl w:val="0"/>
              </w:rPr>
            </w:r>
          </w:p>
        </w:tc>
        <w:tc>
          <w:tcPr>
            <w:shd w:fill="ffffff" w:val="clear"/>
            <w:vAlign w:val="center"/>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1.442311e-01</w:t>
            </w:r>
            <w:r w:rsidDel="00000000" w:rsidR="00000000" w:rsidRPr="00000000">
              <w:rPr>
                <w:rtl w:val="0"/>
              </w:rPr>
            </w:r>
          </w:p>
        </w:tc>
        <w:tc>
          <w:tcPr>
            <w:shd w:fill="ffffff" w:val="clear"/>
            <w:vAlign w:val="center"/>
          </w:tcPr>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1.442311e-01</w:t>
            </w:r>
            <w:r w:rsidDel="00000000" w:rsidR="00000000" w:rsidRPr="00000000">
              <w:rPr>
                <w:rtl w:val="0"/>
              </w:rPr>
            </w:r>
          </w:p>
        </w:tc>
        <w:tc>
          <w:tcPr>
            <w:shd w:fill="ffffff" w:val="cle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2.5e-16</w:t>
            </w:r>
            <w:r w:rsidDel="00000000" w:rsidR="00000000" w:rsidRPr="00000000">
              <w:rPr>
                <w:rtl w:val="0"/>
              </w:rPr>
            </w:r>
          </w:p>
        </w:tc>
        <w:tc>
          <w:tcPr>
            <w:shd w:fill="ffffff" w:val="clear"/>
            <w:vAlign w:val="center"/>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6072</w:t>
            </w:r>
            <w:r w:rsidDel="00000000" w:rsidR="00000000" w:rsidRPr="00000000">
              <w:rPr>
                <w:rtl w:val="0"/>
              </w:rPr>
            </w:r>
          </w:p>
        </w:tc>
        <w:tc>
          <w:tcPr>
            <w:shd w:fill="ffffff" w:val="clear"/>
            <w:vAlign w:val="center"/>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4.789586e-03</w:t>
            </w:r>
            <w:r w:rsidDel="00000000" w:rsidR="00000000" w:rsidRPr="00000000">
              <w:rPr>
                <w:rtl w:val="0"/>
              </w:rPr>
            </w:r>
          </w:p>
        </w:tc>
        <w:tc>
          <w:tcPr>
            <w:shd w:fill="ffffff" w:val="clear"/>
            <w:vAlign w:val="center"/>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4.789586e-03</w:t>
            </w:r>
            <w:r w:rsidDel="00000000" w:rsidR="00000000" w:rsidRPr="00000000">
              <w:rPr>
                <w:rtl w:val="0"/>
              </w:rPr>
            </w:r>
          </w:p>
        </w:tc>
        <w:tc>
          <w:tcPr>
            <w:shd w:fill="ffffff" w:val="clear"/>
            <w:vAlign w:val="center"/>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9.5e-18</w:t>
            </w:r>
            <w:r w:rsidDel="00000000" w:rsidR="00000000" w:rsidRPr="00000000">
              <w:rPr>
                <w:rtl w:val="0"/>
              </w:rPr>
            </w:r>
          </w:p>
        </w:tc>
        <w:tc>
          <w:tcPr>
            <w:shd w:fill="ffffff" w:val="clear"/>
            <w:vAlign w:val="cente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6073</w:t>
            </w:r>
            <w:r w:rsidDel="00000000" w:rsidR="00000000" w:rsidRPr="00000000">
              <w:rPr>
                <w:rtl w:val="0"/>
              </w:rPr>
            </w:r>
          </w:p>
        </w:tc>
        <w:tc>
          <w:tcPr>
            <w:shd w:fill="ffffff" w:val="clea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5.528511e-03</w:t>
            </w:r>
            <w:r w:rsidDel="00000000" w:rsidR="00000000" w:rsidRPr="00000000">
              <w:rPr>
                <w:rtl w:val="0"/>
              </w:rPr>
            </w:r>
          </w:p>
        </w:tc>
        <w:tc>
          <w:tcPr>
            <w:shd w:fill="ffffff" w:val="clear"/>
            <w:vAlign w:val="center"/>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5.528511e-03</w:t>
            </w:r>
            <w:r w:rsidDel="00000000" w:rsidR="00000000" w:rsidRPr="00000000">
              <w:rPr>
                <w:rtl w:val="0"/>
              </w:rPr>
            </w:r>
          </w:p>
        </w:tc>
        <w:tc>
          <w:tcPr>
            <w:shd w:fill="ffffff" w:val="clea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1.2e-17</w:t>
            </w:r>
            <w:r w:rsidDel="00000000" w:rsidR="00000000" w:rsidRPr="00000000">
              <w:rPr>
                <w:rtl w:val="0"/>
              </w:rPr>
            </w:r>
          </w:p>
        </w:tc>
        <w:tc>
          <w:tcPr>
            <w:shd w:fill="ffffff" w:val="clear"/>
            <w:vAlign w:val="cente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5.159048e-03</w:t>
            </w:r>
            <w:r w:rsidDel="00000000" w:rsidR="00000000" w:rsidRPr="00000000">
              <w:rPr>
                <w:rtl w:val="0"/>
              </w:rPr>
            </w:r>
          </w:p>
        </w:tc>
        <w:tc>
          <w:tcPr>
            <w:shd w:fill="ffffff" w:val="clear"/>
            <w:vAlign w:val="cente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5.159048e-03</w:t>
            </w:r>
            <w:r w:rsidDel="00000000" w:rsidR="00000000" w:rsidRPr="00000000">
              <w:rPr>
                <w:rtl w:val="0"/>
              </w:rPr>
            </w:r>
          </w:p>
        </w:tc>
        <w:tc>
          <w:tcPr>
            <w:shd w:fill="ffffff" w:val="clear"/>
            <w:vAlign w:val="center"/>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1.0e-17</w:t>
            </w:r>
            <w:r w:rsidDel="00000000" w:rsidR="00000000" w:rsidRPr="00000000">
              <w:rPr>
                <w:rtl w:val="0"/>
              </w:rPr>
            </w:r>
          </w:p>
        </w:tc>
        <w:tc>
          <w:tcPr>
            <w:shd w:fill="ffffff" w:val="clear"/>
            <w:vAlign w:val="center"/>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 13452</w:t>
            </w:r>
            <w:r w:rsidDel="00000000" w:rsidR="00000000" w:rsidRPr="00000000">
              <w:rPr>
                <w:rtl w:val="0"/>
              </w:rPr>
            </w:r>
          </w:p>
        </w:tc>
        <w:tc>
          <w:tcPr>
            <w:shd w:fill="ffffff" w:val="clear"/>
            <w:vAlign w:val="center"/>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3.768351e-03</w:t>
            </w:r>
            <w:r w:rsidDel="00000000" w:rsidR="00000000" w:rsidRPr="00000000">
              <w:rPr>
                <w:rtl w:val="0"/>
              </w:rPr>
            </w:r>
          </w:p>
        </w:tc>
        <w:tc>
          <w:tcPr>
            <w:shd w:fill="ffffff" w:val="clear"/>
            <w:vAlign w:val="center"/>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3.768351e-03</w:t>
            </w:r>
            <w:r w:rsidDel="00000000" w:rsidR="00000000" w:rsidRPr="00000000">
              <w:rPr>
                <w:rtl w:val="0"/>
              </w:rPr>
            </w:r>
          </w:p>
        </w:tc>
        <w:tc>
          <w:tcPr>
            <w:shd w:fill="ffffff" w:val="clear"/>
            <w:vAlign w:val="cente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7.4e-18</w:t>
            </w:r>
            <w:r w:rsidDel="00000000" w:rsidR="00000000" w:rsidRPr="00000000">
              <w:rPr>
                <w:rtl w:val="0"/>
              </w:rPr>
            </w:r>
          </w:p>
        </w:tc>
        <w:tc>
          <w:tcPr>
            <w:shd w:fill="ffffff" w:val="clea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Pass</w:t>
            </w:r>
            <w:r w:rsidDel="00000000" w:rsidR="00000000" w:rsidRPr="00000000">
              <w:rPr>
                <w:rtl w:val="0"/>
              </w:rPr>
            </w:r>
          </w:p>
        </w:tc>
      </w:tr>
    </w:tbl>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All ten target × indicator decompositions reconcile with the reference embodied multipliers to within machine precision, and known diagnostic anchors reproduce independent project diagnostics, including Taiwan’s domestic electricity contributions.</w:t>
      </w:r>
    </w:p>
    <w:bookmarkStart w:colFirst="0" w:colLast="0" w:name="bookmark=id.kmxvi23hbmym" w:id="8"/>
    <w:bookmarkEnd w:id="8"/>
    <w:p w:rsidR="00000000" w:rsidDel="00000000" w:rsidP="00000000" w:rsidRDefault="00000000" w:rsidRPr="00000000" w14:paraId="000000EE">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S3b. Key grouped upstream shares used in the main text</w:t>
      </w:r>
      <w:r w:rsidDel="00000000" w:rsidR="00000000" w:rsidRPr="00000000">
        <w:rPr>
          <w:rtl w:val="0"/>
        </w:rPr>
      </w:r>
    </w:p>
    <w:tbl>
      <w:tblPr>
        <w:tblStyle w:val="Table5"/>
        <w:tblW w:w="105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1875"/>
        <w:gridCol w:w="1200"/>
        <w:gridCol w:w="1110"/>
        <w:gridCol w:w="1155"/>
        <w:gridCol w:w="1245"/>
        <w:gridCol w:w="1245"/>
        <w:gridCol w:w="2745"/>
        <w:tblGridChange w:id="0">
          <w:tblGrid>
            <w:gridCol w:w="1875"/>
            <w:gridCol w:w="1200"/>
            <w:gridCol w:w="1110"/>
            <w:gridCol w:w="1155"/>
            <w:gridCol w:w="1245"/>
            <w:gridCol w:w="1245"/>
            <w:gridCol w:w="2745"/>
          </w:tblGrid>
        </w:tblGridChange>
      </w:tblGrid>
      <w:tr>
        <w:trPr>
          <w:cantSplit w:val="0"/>
          <w:tblHeader w:val="1"/>
        </w:trPr>
        <w:tc>
          <w:tcPr>
            <w:shd w:fill="ffffff" w:val="clear"/>
            <w:vAlign w:val="cente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Target</w:t>
            </w:r>
            <w:r w:rsidDel="00000000" w:rsidR="00000000" w:rsidRPr="00000000">
              <w:rPr>
                <w:rtl w:val="0"/>
              </w:rPr>
            </w:r>
          </w:p>
        </w:tc>
        <w:tc>
          <w:tcPr>
            <w:shd w:fill="ffffff" w:val="clear"/>
            <w:vAlign w:val="cente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Indicator</w:t>
            </w:r>
            <w:r w:rsidDel="00000000" w:rsidR="00000000" w:rsidRPr="00000000">
              <w:rPr>
                <w:rtl w:val="0"/>
              </w:rPr>
            </w:r>
          </w:p>
        </w:tc>
        <w:tc>
          <w:tcPr>
            <w:shd w:fill="ffffff" w:val="clear"/>
            <w:vAlign w:val="center"/>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Domestic electricity share</w:t>
            </w:r>
            <w:r w:rsidDel="00000000" w:rsidR="00000000" w:rsidRPr="00000000">
              <w:rPr>
                <w:rtl w:val="0"/>
              </w:rPr>
            </w:r>
          </w:p>
        </w:tc>
        <w:tc>
          <w:tcPr>
            <w:shd w:fill="ffffff" w:val="clear"/>
            <w:vAlign w:val="center"/>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Domestic heavy-industry / utility share</w:t>
            </w:r>
            <w:r w:rsidDel="00000000" w:rsidR="00000000" w:rsidRPr="00000000">
              <w:rPr>
                <w:rtl w:val="0"/>
              </w:rPr>
            </w:r>
          </w:p>
        </w:tc>
        <w:tc>
          <w:tcPr>
            <w:shd w:fill="ffffff" w:val="clear"/>
            <w:vAlign w:val="cente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Foreign upstream share</w:t>
            </w:r>
            <w:r w:rsidDel="00000000" w:rsidR="00000000" w:rsidRPr="00000000">
              <w:rPr>
                <w:rtl w:val="0"/>
              </w:rPr>
            </w:r>
          </w:p>
        </w:tc>
        <w:tc>
          <w:tcPr>
            <w:shd w:fill="ffffff" w:val="clea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Strict pseudo/residual/balancing share</w:t>
            </w:r>
            <w:r w:rsidDel="00000000" w:rsidR="00000000" w:rsidRPr="00000000">
              <w:rPr>
                <w:rtl w:val="0"/>
              </w:rPr>
            </w:r>
          </w:p>
        </w:tc>
        <w:tc>
          <w:tcPr>
            <w:shd w:fill="ffffff" w:val="clea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Notes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 11348</w:t>
            </w:r>
            <w:r w:rsidDel="00000000" w:rsidR="00000000" w:rsidRPr="00000000">
              <w:rPr>
                <w:rtl w:val="0"/>
              </w:rPr>
            </w:r>
          </w:p>
        </w:tc>
        <w:tc>
          <w:tcPr>
            <w:shd w:fill="ffffff" w:val="clear"/>
            <w:vAlign w:val="center"/>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49.6%</w:t>
            </w:r>
            <w:r w:rsidDel="00000000" w:rsidR="00000000" w:rsidRPr="00000000">
              <w:rPr>
                <w:rtl w:val="0"/>
              </w:rPr>
            </w:r>
          </w:p>
        </w:tc>
        <w:tc>
          <w:tcPr>
            <w:shd w:fill="ffffff" w:val="clear"/>
            <w:vAlign w:val="cente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59.7%</w:t>
            </w:r>
            <w:r w:rsidDel="00000000" w:rsidR="00000000" w:rsidRPr="00000000">
              <w:rPr>
                <w:rtl w:val="0"/>
              </w:rPr>
            </w:r>
          </w:p>
        </w:tc>
        <w:tc>
          <w:tcPr>
            <w:shd w:fill="ffffff" w:val="clea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7.89%</w:t>
            </w:r>
            <w:r w:rsidDel="00000000" w:rsidR="00000000" w:rsidRPr="00000000">
              <w:rPr>
                <w:rtl w:val="0"/>
              </w:rPr>
            </w:r>
          </w:p>
        </w:tc>
        <w:tc>
          <w:tcPr>
            <w:shd w:fill="ffffff" w:val="clear"/>
            <w:vAlign w:val="cente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0.047%</w:t>
            </w:r>
            <w:r w:rsidDel="00000000" w:rsidR="00000000" w:rsidRPr="00000000">
              <w:rPr>
                <w:rtl w:val="0"/>
              </w:rPr>
            </w:r>
          </w:p>
        </w:tc>
        <w:tc>
          <w:tcPr>
            <w:shd w:fill="ffffff" w:val="clear"/>
            <w:vAlign w:val="center"/>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High multiplier concentrated in domestic electricity and heavy-industry upstream sectors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32.4%</w:t>
            </w:r>
            <w:r w:rsidDel="00000000" w:rsidR="00000000" w:rsidRPr="00000000">
              <w:rPr>
                <w:rtl w:val="0"/>
              </w:rPr>
            </w:r>
          </w:p>
        </w:tc>
        <w:tc>
          <w:tcPr>
            <w:shd w:fill="ffffff" w:val="clear"/>
            <w:vAlign w:val="center"/>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36.9%</w:t>
            </w:r>
            <w:r w:rsidDel="00000000" w:rsidR="00000000" w:rsidRPr="00000000">
              <w:rPr>
                <w:rtl w:val="0"/>
              </w:rPr>
            </w:r>
          </w:p>
        </w:tc>
        <w:tc>
          <w:tcPr>
            <w:shd w:fill="ffffff" w:val="clear"/>
            <w:vAlign w:val="center"/>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21.29%</w:t>
            </w:r>
            <w:r w:rsidDel="00000000" w:rsidR="00000000" w:rsidRPr="00000000">
              <w:rPr>
                <w:rtl w:val="0"/>
              </w:rPr>
            </w:r>
          </w:p>
        </w:tc>
        <w:tc>
          <w:tcPr>
            <w:shd w:fill="ffffff" w:val="clear"/>
            <w:vAlign w:val="center"/>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0.26%</w:t>
            </w:r>
            <w:r w:rsidDel="00000000" w:rsidR="00000000" w:rsidRPr="00000000">
              <w:rPr>
                <w:rtl w:val="0"/>
              </w:rPr>
            </w:r>
          </w:p>
        </w:tc>
        <w:tc>
          <w:tcPr>
            <w:shd w:fill="ffffff" w:val="clear"/>
            <w:vAlign w:val="center"/>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Intermediate structure; lower absolute multiplier than Taiwan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 13452</w:t>
            </w:r>
            <w:r w:rsidDel="00000000" w:rsidR="00000000" w:rsidRPr="00000000">
              <w:rPr>
                <w:rtl w:val="0"/>
              </w:rPr>
            </w:r>
          </w:p>
        </w:tc>
        <w:tc>
          <w:tcPr>
            <w:shd w:fill="ffffff" w:val="clear"/>
            <w:vAlign w:val="center"/>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CO₂</w:t>
            </w:r>
            <w:r w:rsidDel="00000000" w:rsidR="00000000" w:rsidRPr="00000000">
              <w:rPr>
                <w:rtl w:val="0"/>
              </w:rPr>
            </w:r>
          </w:p>
        </w:tc>
        <w:tc>
          <w:tcPr>
            <w:shd w:fill="ffffff" w:val="clear"/>
            <w:vAlign w:val="cente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3.4%</w:t>
            </w:r>
            <w:r w:rsidDel="00000000" w:rsidR="00000000" w:rsidRPr="00000000">
              <w:rPr>
                <w:rtl w:val="0"/>
              </w:rPr>
            </w:r>
          </w:p>
        </w:tc>
        <w:tc>
          <w:tcPr>
            <w:shd w:fill="ffffff" w:val="clear"/>
            <w:vAlign w:val="cente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7.0%</w:t>
            </w:r>
            <w:r w:rsidDel="00000000" w:rsidR="00000000" w:rsidRPr="00000000">
              <w:rPr>
                <w:rtl w:val="0"/>
              </w:rPr>
            </w:r>
          </w:p>
        </w:tc>
        <w:tc>
          <w:tcPr>
            <w:shd w:fill="ffffff" w:val="clear"/>
            <w:vAlign w:val="cente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44.76%</w:t>
            </w:r>
            <w:r w:rsidDel="00000000" w:rsidR="00000000" w:rsidRPr="00000000">
              <w:rPr>
                <w:rtl w:val="0"/>
              </w:rPr>
            </w:r>
          </w:p>
        </w:tc>
        <w:tc>
          <w:tcPr>
            <w:shd w:fill="ffffff" w:val="clear"/>
            <w:vAlign w:val="center"/>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0.49%</w:t>
            </w:r>
            <w:r w:rsidDel="00000000" w:rsidR="00000000" w:rsidRPr="00000000">
              <w:rPr>
                <w:rtl w:val="0"/>
              </w:rPr>
            </w:r>
          </w:p>
        </w:tc>
        <w:tc>
          <w:tcPr>
            <w:shd w:fill="ffffff" w:val="clear"/>
            <w:vAlign w:val="center"/>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More foreign-upstream-intensive structure; low absolute multiplier</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 11348</w:t>
            </w:r>
            <w:r w:rsidDel="00000000" w:rsidR="00000000" w:rsidRPr="00000000">
              <w:rPr>
                <w:rtl w:val="0"/>
              </w:rPr>
            </w:r>
          </w:p>
        </w:tc>
        <w:tc>
          <w:tcPr>
            <w:shd w:fill="ffffff" w:val="clear"/>
            <w:vAlign w:val="center"/>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56.9%</w:t>
            </w:r>
            <w:r w:rsidDel="00000000" w:rsidR="00000000" w:rsidRPr="00000000">
              <w:rPr>
                <w:rtl w:val="0"/>
              </w:rPr>
            </w:r>
          </w:p>
        </w:tc>
        <w:tc>
          <w:tcPr>
            <w:shd w:fill="ffffff" w:val="clear"/>
            <w:vAlign w:val="cente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91.9%</w:t>
            </w:r>
            <w:r w:rsidDel="00000000" w:rsidR="00000000" w:rsidRPr="00000000">
              <w:rPr>
                <w:rtl w:val="0"/>
              </w:rPr>
            </w:r>
          </w:p>
        </w:tc>
        <w:tc>
          <w:tcPr>
            <w:shd w:fill="ffffff" w:val="clear"/>
            <w:vAlign w:val="cente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2.73%</w:t>
            </w:r>
            <w:r w:rsidDel="00000000" w:rsidR="00000000" w:rsidRPr="00000000">
              <w:rPr>
                <w:rtl w:val="0"/>
              </w:rPr>
            </w:r>
          </w:p>
        </w:tc>
        <w:tc>
          <w:tcPr>
            <w:shd w:fill="ffffff" w:val="clear"/>
            <w:vAlign w:val="center"/>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0.01%</w:t>
            </w:r>
            <w:r w:rsidDel="00000000" w:rsidR="00000000" w:rsidRPr="00000000">
              <w:rPr>
                <w:rtl w:val="0"/>
              </w:rPr>
            </w:r>
          </w:p>
        </w:tc>
        <w:tc>
          <w:tcPr>
            <w:shd w:fill="ffffff" w:val="clear"/>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Domestic electricity and heavy-industry/utility upstream groups dominate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43.6%</w:t>
            </w:r>
            <w:r w:rsidDel="00000000" w:rsidR="00000000" w:rsidRPr="00000000">
              <w:rPr>
                <w:rtl w:val="0"/>
              </w:rPr>
            </w:r>
          </w:p>
        </w:tc>
        <w:tc>
          <w:tcPr>
            <w:shd w:fill="ffffff" w:val="clear"/>
            <w:vAlign w:val="center"/>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53.8%</w:t>
            </w:r>
            <w:r w:rsidDel="00000000" w:rsidR="00000000" w:rsidRPr="00000000">
              <w:rPr>
                <w:rtl w:val="0"/>
              </w:rPr>
            </w:r>
          </w:p>
        </w:tc>
        <w:tc>
          <w:tcPr>
            <w:shd w:fill="ffffff" w:val="clea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23.38%</w:t>
            </w:r>
            <w:r w:rsidDel="00000000" w:rsidR="00000000" w:rsidRPr="00000000">
              <w:rPr>
                <w:rtl w:val="0"/>
              </w:rPr>
            </w:r>
          </w:p>
        </w:tc>
        <w:tc>
          <w:tcPr>
            <w:shd w:fill="ffffff" w:val="clear"/>
            <w:vAlign w:val="center"/>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0.82%</w:t>
            </w:r>
            <w:r w:rsidDel="00000000" w:rsidR="00000000" w:rsidRPr="00000000">
              <w:rPr>
                <w:rtl w:val="0"/>
              </w:rPr>
            </w:r>
          </w:p>
        </w:tc>
        <w:tc>
          <w:tcPr>
            <w:shd w:fill="ffffff" w:val="clear"/>
            <w:vAlign w:val="cente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Supplementary diagnostic</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 13452</w:t>
            </w:r>
            <w:r w:rsidDel="00000000" w:rsidR="00000000" w:rsidRPr="00000000">
              <w:rPr>
                <w:rtl w:val="0"/>
              </w:rPr>
            </w:r>
          </w:p>
        </w:tc>
        <w:tc>
          <w:tcPr>
            <w:shd w:fill="ffffff" w:val="clear"/>
            <w:vAlign w:val="center"/>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Energy</w:t>
            </w:r>
            <w:r w:rsidDel="00000000" w:rsidR="00000000" w:rsidRPr="00000000">
              <w:rPr>
                <w:rtl w:val="0"/>
              </w:rPr>
            </w:r>
          </w:p>
        </w:tc>
        <w:tc>
          <w:tcPr>
            <w:shd w:fill="ffffff" w:val="clear"/>
            <w:vAlign w:val="cente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19.2%</w:t>
            </w:r>
            <w:r w:rsidDel="00000000" w:rsidR="00000000" w:rsidRPr="00000000">
              <w:rPr>
                <w:rtl w:val="0"/>
              </w:rPr>
            </w:r>
          </w:p>
        </w:tc>
        <w:tc>
          <w:tcPr>
            <w:shd w:fill="ffffff" w:val="clear"/>
            <w:vAlign w:val="cente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31.6%</w:t>
            </w:r>
            <w:r w:rsidDel="00000000" w:rsidR="00000000" w:rsidRPr="00000000">
              <w:rPr>
                <w:rtl w:val="0"/>
              </w:rPr>
            </w:r>
          </w:p>
        </w:tc>
        <w:tc>
          <w:tcPr>
            <w:shd w:fill="ffffff" w:val="clear"/>
            <w:vAlign w:val="center"/>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42.10%</w:t>
            </w:r>
            <w:r w:rsidDel="00000000" w:rsidR="00000000" w:rsidRPr="00000000">
              <w:rPr>
                <w:rtl w:val="0"/>
              </w:rPr>
            </w:r>
          </w:p>
        </w:tc>
        <w:tc>
          <w:tcPr>
            <w:shd w:fill="ffffff" w:val="clea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0.12%</w:t>
            </w:r>
            <w:r w:rsidDel="00000000" w:rsidR="00000000" w:rsidRPr="00000000">
              <w:rPr>
                <w:rtl w:val="0"/>
              </w:rPr>
            </w:r>
          </w:p>
        </w:tc>
        <w:tc>
          <w:tcPr>
            <w:shd w:fill="ffffff" w:val="clear"/>
            <w:vAlign w:val="cente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Supplementary diagnostic</w:t>
            </w:r>
            <w:r w:rsidDel="00000000" w:rsidR="00000000" w:rsidRPr="00000000">
              <w:rPr>
                <w:rtl w:val="0"/>
              </w:rPr>
            </w:r>
          </w:p>
        </w:tc>
      </w:tr>
    </w:tbl>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EDGAR CO₂ is the main environmental indicator. Energy is reported as a supplementary 2022 cross-sector diagnostic because I-ENERGY is frozen after 2011. Strict pseudo/residual/balancing shares remain below 0.5% in every CO₂ decomposition (maximum 0.49%, for the US sector). In the energy diagnostic, these shares are also small, with a maximum value of 0.82% for the Japan average; this does not affect the CO₂-based conclusions. In the domestic-electricity column, the Taiwan figures (49.6% for CO₂ and 56.9% for energy) refer to the single dominant electricity sector, consistent with Section 4.1 of the main text, whereas the Japan and US figures refer to the broader “electricity” category defined in S2. The two conventions differ only slightly: for Taiwan, the broader category accounts for about 50.0% of the CO₂ multiplier. The domestic heavy-industry/utility share is inclusive of electricity; in Fig. 2 and Fig. S2, electricity is shown as a separate stacked segment, so electricity plus the other heavy-industry/utility segment equals this inclusive share.</w:t>
      </w:r>
    </w:p>
    <w:bookmarkStart w:colFirst="0" w:colLast="0" w:name="bookmark=id.5rkrzij2y4jt" w:id="9"/>
    <w:bookmarkEnd w:id="9"/>
    <w:p w:rsidR="00000000" w:rsidDel="00000000" w:rsidP="00000000" w:rsidRDefault="00000000" w:rsidRPr="00000000" w14:paraId="00000121">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S3c. Taiwan identified-other audit: top contributors</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Taiwan EDGAR CO₂ decomposition contains an identified-other component equivalent to 14.77% of the multiplier (12.54% domestic identified-other plus 2.23% foreign identified-other). This category is dominated by named real sectors rather than strict pseudo/residual/balancing accounts. The top ten Taiwan-domestic contributors are listed below; together, they account for about 7.4 percentage points of the 12.54% domestic identified-other component.</w:t>
      </w:r>
    </w:p>
    <w:tbl>
      <w:tblPr>
        <w:tblStyle w:val="Table6"/>
        <w:tblW w:w="102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825"/>
        <w:gridCol w:w="1950"/>
        <w:gridCol w:w="2040"/>
        <w:gridCol w:w="1650"/>
        <w:gridCol w:w="3795"/>
        <w:tblGridChange w:id="0">
          <w:tblGrid>
            <w:gridCol w:w="825"/>
            <w:gridCol w:w="1950"/>
            <w:gridCol w:w="2040"/>
            <w:gridCol w:w="1650"/>
            <w:gridCol w:w="3795"/>
          </w:tblGrid>
        </w:tblGridChange>
      </w:tblGrid>
      <w:tr>
        <w:trPr>
          <w:cantSplit w:val="0"/>
          <w:tblHeader w:val="1"/>
        </w:trPr>
        <w:tc>
          <w:tcPr>
            <w:shd w:fill="ffffff" w:val="clear"/>
            <w:vAlign w:val="cente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Rank</w:t>
            </w:r>
            <w:r w:rsidDel="00000000" w:rsidR="00000000" w:rsidRPr="00000000">
              <w:rPr>
                <w:rtl w:val="0"/>
              </w:rPr>
            </w:r>
          </w:p>
        </w:tc>
        <w:tc>
          <w:tcPr>
            <w:shd w:fill="ffffff" w:val="clear"/>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Sector</w:t>
            </w:r>
            <w:r w:rsidDel="00000000" w:rsidR="00000000" w:rsidRPr="00000000">
              <w:rPr>
                <w:rtl w:val="0"/>
              </w:rPr>
            </w:r>
          </w:p>
        </w:tc>
        <w:tc>
          <w:tcPr>
            <w:shd w:fill="ffffff" w:val="clear"/>
            <w:vAlign w:val="cente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Eora index</w:t>
            </w:r>
            <w:r w:rsidDel="00000000" w:rsidR="00000000" w:rsidRPr="00000000">
              <w:rPr>
                <w:rtl w:val="0"/>
              </w:rPr>
            </w:r>
          </w:p>
        </w:tc>
        <w:tc>
          <w:tcPr>
            <w:shd w:fill="ffffff" w:val="clear"/>
            <w:vAlign w:val="cente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Share of Taiwan EDGAR CO₂ multiplier</w:t>
            </w:r>
            <w:r w:rsidDel="00000000" w:rsidR="00000000" w:rsidRPr="00000000">
              <w:rPr>
                <w:rtl w:val="0"/>
              </w:rPr>
            </w:r>
          </w:p>
        </w:tc>
        <w:tc>
          <w:tcPr>
            <w:shd w:fill="ffffff" w:val="clear"/>
            <w:vAlign w:val="center"/>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Manual classification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w:t>
            </w:r>
            <w:r w:rsidDel="00000000" w:rsidR="00000000" w:rsidRPr="00000000">
              <w:rPr>
                <w:rtl w:val="0"/>
              </w:rPr>
            </w:r>
          </w:p>
        </w:tc>
        <w:tc>
          <w:tcPr>
            <w:shd w:fill="ffffff" w:val="clear"/>
            <w:vAlign w:val="center"/>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Gas</w:t>
            </w:r>
            <w:r w:rsidDel="00000000" w:rsidR="00000000" w:rsidRPr="00000000">
              <w:rPr>
                <w:rtl w:val="0"/>
              </w:rPr>
            </w:r>
          </w:p>
        </w:tc>
        <w:tc>
          <w:tcPr>
            <w:shd w:fill="ffffff" w:val="clear"/>
            <w:vAlign w:val="center"/>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11360</w:t>
            </w:r>
            <w:r w:rsidDel="00000000" w:rsidR="00000000" w:rsidRPr="00000000">
              <w:rPr>
                <w:rtl w:val="0"/>
              </w:rPr>
            </w:r>
          </w:p>
        </w:tc>
        <w:tc>
          <w:tcPr>
            <w:shd w:fill="ffffff" w:val="clear"/>
            <w:vAlign w:val="center"/>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1.75%</w:t>
            </w:r>
            <w:r w:rsidDel="00000000" w:rsidR="00000000" w:rsidRPr="00000000">
              <w:rPr>
                <w:rtl w:val="0"/>
              </w:rPr>
            </w:r>
          </w:p>
        </w:tc>
        <w:tc>
          <w:tcPr>
            <w:shd w:fill="ffffff" w:val="clear"/>
            <w:vAlign w:val="center"/>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Utility-like; retained in identified-other to preserve the fixed Fig. 2 grouping</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w:t>
            </w:r>
            <w:r w:rsidDel="00000000" w:rsidR="00000000" w:rsidRPr="00000000">
              <w:rPr>
                <w:rtl w:val="0"/>
              </w:rPr>
            </w:r>
          </w:p>
        </w:tc>
        <w:tc>
          <w:tcPr>
            <w:shd w:fill="ffffff" w:val="clear"/>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Nonresidential Building Construction</w:t>
            </w:r>
            <w:r w:rsidDel="00000000" w:rsidR="00000000" w:rsidRPr="00000000">
              <w:rPr>
                <w:rtl w:val="0"/>
              </w:rPr>
            </w:r>
          </w:p>
        </w:tc>
        <w:tc>
          <w:tcPr>
            <w:shd w:fill="ffffff" w:val="clear"/>
            <w:vAlign w:val="center"/>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11363</w:t>
            </w:r>
            <w:r w:rsidDel="00000000" w:rsidR="00000000" w:rsidRPr="00000000">
              <w:rPr>
                <w:rtl w:val="0"/>
              </w:rPr>
            </w:r>
          </w:p>
        </w:tc>
        <w:tc>
          <w:tcPr>
            <w:shd w:fill="ffffff" w:val="clear"/>
            <w:vAlign w:val="center"/>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0.94%</w:t>
            </w:r>
            <w:r w:rsidDel="00000000" w:rsidR="00000000" w:rsidRPr="00000000">
              <w:rPr>
                <w:rtl w:val="0"/>
              </w:rPr>
            </w:r>
          </w:p>
        </w:tc>
        <w:tc>
          <w:tcPr>
            <w:shd w:fill="ffffff" w:val="clear"/>
            <w:vAlign w:val="cente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Broad but interpretable: construction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w:t>
            </w:r>
            <w:r w:rsidDel="00000000" w:rsidR="00000000" w:rsidRPr="00000000">
              <w:rPr>
                <w:rtl w:val="0"/>
              </w:rPr>
            </w:r>
          </w:p>
        </w:tc>
        <w:tc>
          <w:tcPr>
            <w:shd w:fill="ffffff" w:val="clear"/>
            <w:vAlign w:val="center"/>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 Metals</w:t>
            </w:r>
            <w:r w:rsidDel="00000000" w:rsidR="00000000" w:rsidRPr="00000000">
              <w:rPr>
                <w:rtl w:val="0"/>
              </w:rPr>
            </w:r>
          </w:p>
        </w:tc>
        <w:tc>
          <w:tcPr>
            <w:shd w:fill="ffffff" w:val="clear"/>
            <w:vAlign w:val="cente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11323</w:t>
            </w:r>
            <w:r w:rsidDel="00000000" w:rsidR="00000000" w:rsidRPr="00000000">
              <w:rPr>
                <w:rtl w:val="0"/>
              </w:rPr>
            </w:r>
          </w:p>
        </w:tc>
        <w:tc>
          <w:tcPr>
            <w:shd w:fill="ffffff" w:val="clear"/>
            <w:vAlign w:val="center"/>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0.93%</w:t>
            </w:r>
            <w:r w:rsidDel="00000000" w:rsidR="00000000" w:rsidRPr="00000000">
              <w:rPr>
                <w:rtl w:val="0"/>
              </w:rPr>
            </w:r>
          </w:p>
        </w:tc>
        <w:tc>
          <w:tcPr>
            <w:shd w:fill="ffffff" w:val="clea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Metals-related; retained in identified-other to preserve the fixed Fig. 2 grouping</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w:t>
            </w:r>
            <w:r w:rsidDel="00000000" w:rsidR="00000000" w:rsidRPr="00000000">
              <w:rPr>
                <w:rtl w:val="0"/>
              </w:rPr>
            </w:r>
          </w:p>
        </w:tc>
        <w:tc>
          <w:tcPr>
            <w:shd w:fill="ffffff" w:val="clear"/>
            <w:vAlign w:val="cente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Research &amp; Development Services</w:t>
            </w:r>
            <w:r w:rsidDel="00000000" w:rsidR="00000000" w:rsidRPr="00000000">
              <w:rPr>
                <w:rtl w:val="0"/>
              </w:rPr>
            </w:r>
          </w:p>
        </w:tc>
        <w:tc>
          <w:tcPr>
            <w:shd w:fill="ffffff" w:val="clear"/>
            <w:vAlign w:val="cente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11390</w:t>
            </w:r>
            <w:r w:rsidDel="00000000" w:rsidR="00000000" w:rsidRPr="00000000">
              <w:rPr>
                <w:rtl w:val="0"/>
              </w:rPr>
            </w:r>
          </w:p>
        </w:tc>
        <w:tc>
          <w:tcPr>
            <w:shd w:fill="ffffff" w:val="clear"/>
            <w:vAlign w:val="center"/>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0.84%</w:t>
            </w:r>
            <w:r w:rsidDel="00000000" w:rsidR="00000000" w:rsidRPr="00000000">
              <w:rPr>
                <w:rtl w:val="0"/>
              </w:rPr>
            </w:r>
          </w:p>
        </w:tc>
        <w:tc>
          <w:tcPr>
            <w:shd w:fill="ffffff" w:val="clear"/>
            <w:vAlign w:val="center"/>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Services-related; retained in identified-other to preserve the fixed Fig. 2 grouping</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w:t>
            </w:r>
            <w:r w:rsidDel="00000000" w:rsidR="00000000" w:rsidRPr="00000000">
              <w:rPr>
                <w:rtl w:val="0"/>
              </w:rPr>
            </w:r>
          </w:p>
        </w:tc>
        <w:tc>
          <w:tcPr>
            <w:shd w:fill="ffffff" w:val="clear"/>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Public Works</w:t>
            </w:r>
            <w:r w:rsidDel="00000000" w:rsidR="00000000" w:rsidRPr="00000000">
              <w:rPr>
                <w:rtl w:val="0"/>
              </w:rPr>
            </w:r>
          </w:p>
        </w:tc>
        <w:tc>
          <w:tcPr>
            <w:shd w:fill="ffffff" w:val="clea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11364</w:t>
            </w:r>
            <w:r w:rsidDel="00000000" w:rsidR="00000000" w:rsidRPr="00000000">
              <w:rPr>
                <w:rtl w:val="0"/>
              </w:rPr>
            </w:r>
          </w:p>
        </w:tc>
        <w:tc>
          <w:tcPr>
            <w:shd w:fill="ffffff" w:val="clea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0.64%</w:t>
            </w:r>
            <w:r w:rsidDel="00000000" w:rsidR="00000000" w:rsidRPr="00000000">
              <w:rPr>
                <w:rtl w:val="0"/>
              </w:rPr>
            </w:r>
          </w:p>
        </w:tc>
        <w:tc>
          <w:tcPr>
            <w:shd w:fill="ffffff" w:val="clear"/>
            <w:vAlign w:val="cente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Broad but interpretable: construction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w:t>
            </w:r>
            <w:r w:rsidDel="00000000" w:rsidR="00000000" w:rsidRPr="00000000">
              <w:rPr>
                <w:rtl w:val="0"/>
              </w:rPr>
            </w:r>
          </w:p>
        </w:tc>
        <w:tc>
          <w:tcPr>
            <w:shd w:fill="ffffff" w:val="clear"/>
            <w:vAlign w:val="cente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 Electrical Materials</w:t>
            </w:r>
            <w:r w:rsidDel="00000000" w:rsidR="00000000" w:rsidRPr="00000000">
              <w:rPr>
                <w:rtl w:val="0"/>
              </w:rPr>
            </w:r>
          </w:p>
        </w:tc>
        <w:tc>
          <w:tcPr>
            <w:shd w:fill="ffffff" w:val="clear"/>
            <w:vAlign w:val="cente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11340</w:t>
            </w:r>
            <w:r w:rsidDel="00000000" w:rsidR="00000000" w:rsidRPr="00000000">
              <w:rPr>
                <w:rtl w:val="0"/>
              </w:rPr>
            </w:r>
          </w:p>
        </w:tc>
        <w:tc>
          <w:tcPr>
            <w:shd w:fill="ffffff" w:val="clear"/>
            <w:vAlign w:val="center"/>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0.61%</w:t>
            </w:r>
            <w:r w:rsidDel="00000000" w:rsidR="00000000" w:rsidRPr="00000000">
              <w:rPr>
                <w:rtl w:val="0"/>
              </w:rPr>
            </w:r>
          </w:p>
        </w:tc>
        <w:tc>
          <w:tcPr>
            <w:shd w:fill="ffffff" w:val="clear"/>
            <w:vAlign w:val="center"/>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Broad but interpretable: materials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w:t>
            </w:r>
            <w:r w:rsidDel="00000000" w:rsidR="00000000" w:rsidRPr="00000000">
              <w:rPr>
                <w:rtl w:val="0"/>
              </w:rPr>
            </w:r>
          </w:p>
        </w:tc>
        <w:tc>
          <w:tcPr>
            <w:shd w:fill="ffffff" w:val="clea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 Construction</w:t>
            </w:r>
            <w:r w:rsidDel="00000000" w:rsidR="00000000" w:rsidRPr="00000000">
              <w:rPr>
                <w:rtl w:val="0"/>
              </w:rPr>
            </w:r>
          </w:p>
        </w:tc>
        <w:tc>
          <w:tcPr>
            <w:shd w:fill="ffffff" w:val="clear"/>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11365</w:t>
            </w:r>
            <w:r w:rsidDel="00000000" w:rsidR="00000000" w:rsidRPr="00000000">
              <w:rPr>
                <w:rtl w:val="0"/>
              </w:rPr>
            </w:r>
          </w:p>
        </w:tc>
        <w:tc>
          <w:tcPr>
            <w:shd w:fill="ffffff" w:val="clear"/>
            <w:vAlign w:val="cente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0.47%</w:t>
            </w:r>
            <w:r w:rsidDel="00000000" w:rsidR="00000000" w:rsidRPr="00000000">
              <w:rPr>
                <w:rtl w:val="0"/>
              </w:rPr>
            </w:r>
          </w:p>
        </w:tc>
        <w:tc>
          <w:tcPr>
            <w:shd w:fill="ffffff" w:val="clear"/>
            <w:vAlign w:val="cente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Broad but interpretable: construction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w:t>
            </w:r>
            <w:r w:rsidDel="00000000" w:rsidR="00000000" w:rsidRPr="00000000">
              <w:rPr>
                <w:rtl w:val="0"/>
              </w:rPr>
            </w:r>
          </w:p>
        </w:tc>
        <w:tc>
          <w:tcPr>
            <w:shd w:fill="ffffff" w:val="clear"/>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Motor Vehicles</w:t>
            </w:r>
            <w:r w:rsidDel="00000000" w:rsidR="00000000" w:rsidRPr="00000000">
              <w:rPr>
                <w:rtl w:val="0"/>
              </w:rPr>
            </w:r>
          </w:p>
        </w:tc>
        <w:tc>
          <w:tcPr>
            <w:shd w:fill="ffffff" w:val="clear"/>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11352</w:t>
            </w:r>
            <w:r w:rsidDel="00000000" w:rsidR="00000000" w:rsidRPr="00000000">
              <w:rPr>
                <w:rtl w:val="0"/>
              </w:rPr>
            </w:r>
          </w:p>
        </w:tc>
        <w:tc>
          <w:tcPr>
            <w:shd w:fill="ffffff" w:val="clear"/>
            <w:vAlign w:val="cente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0.42%</w:t>
            </w:r>
            <w:r w:rsidDel="00000000" w:rsidR="00000000" w:rsidRPr="00000000">
              <w:rPr>
                <w:rtl w:val="0"/>
              </w:rPr>
            </w:r>
          </w:p>
        </w:tc>
        <w:tc>
          <w:tcPr>
            <w:shd w:fill="ffffff" w:val="clear"/>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Broad but interpretable: transport equipment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w:t>
            </w:r>
            <w:r w:rsidDel="00000000" w:rsidR="00000000" w:rsidRPr="00000000">
              <w:rPr>
                <w:rtl w:val="0"/>
              </w:rPr>
            </w:r>
          </w:p>
        </w:tc>
        <w:tc>
          <w:tcPr>
            <w:shd w:fill="ffffff" w:val="clea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Other Metal Products</w:t>
            </w:r>
            <w:r w:rsidDel="00000000" w:rsidR="00000000" w:rsidRPr="00000000">
              <w:rPr>
                <w:rtl w:val="0"/>
              </w:rPr>
            </w:r>
          </w:p>
        </w:tc>
        <w:tc>
          <w:tcPr>
            <w:shd w:fill="ffffff" w:val="clear"/>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11329</w:t>
            </w:r>
            <w:r w:rsidDel="00000000" w:rsidR="00000000" w:rsidRPr="00000000">
              <w:rPr>
                <w:rtl w:val="0"/>
              </w:rPr>
            </w:r>
          </w:p>
        </w:tc>
        <w:tc>
          <w:tcPr>
            <w:shd w:fill="ffffff" w:val="clear"/>
            <w:vAlign w:val="cente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0.41%</w:t>
            </w:r>
            <w:r w:rsidDel="00000000" w:rsidR="00000000" w:rsidRPr="00000000">
              <w:rPr>
                <w:rtl w:val="0"/>
              </w:rPr>
            </w:r>
          </w:p>
        </w:tc>
        <w:tc>
          <w:tcPr>
            <w:shd w:fill="ffffff" w:val="clear"/>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Metals-related; retained in identified-other to preserve the fixed Fig. 2 grouping</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w:t>
            </w:r>
            <w:r w:rsidDel="00000000" w:rsidR="00000000" w:rsidRPr="00000000">
              <w:rPr>
                <w:rtl w:val="0"/>
              </w:rPr>
            </w:r>
          </w:p>
        </w:tc>
        <w:tc>
          <w:tcPr>
            <w:shd w:fill="ffffff" w:val="clear"/>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Undistributed</w:t>
            </w:r>
            <w:r w:rsidDel="00000000" w:rsidR="00000000" w:rsidRPr="00000000">
              <w:rPr>
                <w:rtl w:val="0"/>
              </w:rPr>
            </w:r>
          </w:p>
        </w:tc>
        <w:tc>
          <w:tcPr>
            <w:shd w:fill="ffffff" w:val="clear"/>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11407</w:t>
            </w:r>
            <w:r w:rsidDel="00000000" w:rsidR="00000000" w:rsidRPr="00000000">
              <w:rPr>
                <w:rtl w:val="0"/>
              </w:rPr>
            </w:r>
          </w:p>
        </w:tc>
        <w:tc>
          <w:tcPr>
            <w:shd w:fill="ffffff" w:val="clear"/>
            <w:vAlign w:val="cente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0.40%</w:t>
            </w:r>
            <w:r w:rsidDel="00000000" w:rsidR="00000000" w:rsidRPr="00000000">
              <w:rPr>
                <w:rtl w:val="0"/>
              </w:rPr>
            </w:r>
          </w:p>
        </w:tc>
        <w:tc>
          <w:tcPr>
            <w:shd w:fill="ffffff" w:val="clear"/>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Eora “Undistributed” residual-style named sector</w:t>
            </w:r>
            <w:r w:rsidDel="00000000" w:rsidR="00000000" w:rsidRPr="00000000">
              <w:rPr>
                <w:rtl w:val="0"/>
              </w:rPr>
            </w:r>
          </w:p>
        </w:tc>
      </w:tr>
    </w:tb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top nine contributors are identifiable real domestic sectors. The tenth, Eora “Undistributed” (index 11407), contributes about 0.40% of the Taiwan EDGAR multiplier. It is a named Eora residual-style sector and is distinct from the strict pseudo/residual/balancing group used in the Fig. 2 classification; it is the source of the main manuscript’s “about 0.4% Undistributed” statement.</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sector names in Table S3c are native Eora sector labels used for audit transparency; they should not be interpreted as process-level semiconductor fabrication categories.</w:t>
      </w:r>
    </w:p>
    <w:bookmarkStart w:colFirst="0" w:colLast="0" w:name="bookmark=id.thcxhi9zu4lt" w:id="10"/>
    <w:bookmarkEnd w:id="10"/>
    <w:p w:rsidR="00000000" w:rsidDel="00000000" w:rsidP="00000000" w:rsidRDefault="00000000" w:rsidRPr="00000000" w14:paraId="0000015C">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S3d. Residual-account and negative-contribution diagnostics</w:t>
      </w:r>
      <w:r w:rsidDel="00000000" w:rsidR="00000000" w:rsidRPr="00000000">
        <w:rPr>
          <w:rtl w:val="0"/>
        </w:rPr>
      </w:r>
    </w:p>
    <w:tbl>
      <w:tblPr>
        <w:tblStyle w:val="Table7"/>
        <w:tblW w:w="108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2205"/>
        <w:gridCol w:w="1575"/>
        <w:gridCol w:w="1830"/>
        <w:gridCol w:w="1860"/>
        <w:gridCol w:w="3360"/>
        <w:tblGridChange w:id="0">
          <w:tblGrid>
            <w:gridCol w:w="2205"/>
            <w:gridCol w:w="1575"/>
            <w:gridCol w:w="1830"/>
            <w:gridCol w:w="1860"/>
            <w:gridCol w:w="3360"/>
          </w:tblGrid>
        </w:tblGridChange>
      </w:tblGrid>
      <w:tr>
        <w:trPr>
          <w:cantSplit w:val="0"/>
          <w:tblHeader w:val="1"/>
        </w:trPr>
        <w:tc>
          <w:tcPr>
            <w:shd w:fill="ffffff" w:val="clear"/>
            <w:vAlign w:val="center"/>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Diagnostic</w:t>
            </w:r>
            <w:r w:rsidDel="00000000" w:rsidR="00000000" w:rsidRPr="00000000">
              <w:rPr>
                <w:rtl w:val="0"/>
              </w:rPr>
            </w:r>
          </w:p>
        </w:tc>
        <w:tc>
          <w:tcPr>
            <w:shd w:fill="ffffff" w:val="clear"/>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Taiwan</w:t>
            </w:r>
            <w:r w:rsidDel="00000000" w:rsidR="00000000" w:rsidRPr="00000000">
              <w:rPr>
                <w:rtl w:val="0"/>
              </w:rPr>
            </w:r>
          </w:p>
        </w:tc>
        <w:tc>
          <w:tcPr>
            <w:shd w:fill="ffffff" w:val="clear"/>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Interpretation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Strict pseudo/residual/balancing share (CO₂ decomposition)</w:t>
            </w:r>
            <w:r w:rsidDel="00000000" w:rsidR="00000000" w:rsidRPr="00000000">
              <w:rPr>
                <w:rtl w:val="0"/>
              </w:rPr>
            </w:r>
          </w:p>
        </w:tc>
        <w:tc>
          <w:tcPr>
            <w:shd w:fill="ffffff" w:val="clear"/>
            <w:vAlign w:val="center"/>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0.047%</w:t>
            </w:r>
            <w:r w:rsidDel="00000000" w:rsidR="00000000" w:rsidRPr="00000000">
              <w:rPr>
                <w:rtl w:val="0"/>
              </w:rPr>
            </w:r>
          </w:p>
        </w:tc>
        <w:tc>
          <w:tcPr>
            <w:shd w:fill="ffffff" w:val="clear"/>
            <w:vAlign w:val="cente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0.26%</w:t>
            </w:r>
            <w:r w:rsidDel="00000000" w:rsidR="00000000" w:rsidRPr="00000000">
              <w:rPr>
                <w:rtl w:val="0"/>
              </w:rPr>
            </w:r>
          </w:p>
        </w:tc>
        <w:tc>
          <w:tcPr>
            <w:shd w:fill="ffffff" w:val="clear"/>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0.49%</w:t>
            </w:r>
            <w:r w:rsidDel="00000000" w:rsidR="00000000" w:rsidRPr="00000000">
              <w:rPr>
                <w:rtl w:val="0"/>
              </w:rPr>
            </w:r>
          </w:p>
        </w:tc>
        <w:tc>
          <w:tcPr>
            <w:shd w:fill="ffffff" w:val="clear"/>
            <w:vAlign w:val="cente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Strongly weighs against a residual-, pseudo-, or balancing-account interpretation of the multiplier contrast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Eora “Undistributed” residual-style named sector</w:t>
            </w:r>
            <w:r w:rsidDel="00000000" w:rsidR="00000000" w:rsidRPr="00000000">
              <w:rPr>
                <w:rtl w:val="0"/>
              </w:rPr>
            </w:r>
          </w:p>
        </w:tc>
        <w:tc>
          <w:tcPr>
            <w:shd w:fill="ffffff" w:val="clear"/>
            <w:vAlign w:val="cente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0.40%</w:t>
            </w:r>
            <w:r w:rsidDel="00000000" w:rsidR="00000000" w:rsidRPr="00000000">
              <w:rPr>
                <w:rtl w:val="0"/>
              </w:rPr>
            </w:r>
          </w:p>
        </w:tc>
        <w:tc>
          <w:tcPr>
            <w:shd w:fill="ffffff" w:val="clear"/>
            <w:vAlign w:val="center"/>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Taiwan-native sector; not present in the Japan or US classification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Negative contribution share</w:t>
            </w:r>
            <w:r w:rsidDel="00000000" w:rsidR="00000000" w:rsidRPr="00000000">
              <w:rPr>
                <w:rtl w:val="0"/>
              </w:rPr>
            </w:r>
          </w:p>
        </w:tc>
        <w:tc>
          <w:tcPr>
            <w:shd w:fill="ffffff" w:val="clear"/>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shd w:fill="ffffff" w:val="clear"/>
            <w:vAlign w:val="center"/>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shd w:fill="ffffff" w:val="clear"/>
            <w:vAlign w:val="center"/>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negligible</w:t>
            </w:r>
            <w:r w:rsidDel="00000000" w:rsidR="00000000" w:rsidRPr="00000000">
              <w:rPr>
                <w:rtl w:val="0"/>
              </w:rPr>
            </w:r>
          </w:p>
        </w:tc>
        <w:tc>
          <w:tcPr>
            <w:shd w:fill="ffffff" w:val="clear"/>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Negative contributions do not materially affect interpretation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Reconciliation error</w:t>
            </w:r>
            <w:r w:rsidDel="00000000" w:rsidR="00000000" w:rsidRPr="00000000">
              <w:rPr>
                <w:rtl w:val="0"/>
              </w:rPr>
            </w:r>
          </w:p>
        </w:tc>
        <w:tc>
          <w:tcPr>
            <w:shd w:fill="ffffff" w:val="clear"/>
            <w:vAlign w:val="center"/>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machine precision</w:t>
            </w:r>
            <w:r w:rsidDel="00000000" w:rsidR="00000000" w:rsidRPr="00000000">
              <w:rPr>
                <w:rtl w:val="0"/>
              </w:rPr>
            </w:r>
          </w:p>
        </w:tc>
        <w:tc>
          <w:tcPr>
            <w:shd w:fill="ffffff" w:val="clear"/>
            <w:vAlign w:val="center"/>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Decomposition identity holds</w:t>
            </w:r>
            <w:r w:rsidDel="00000000" w:rsidR="00000000" w:rsidRPr="00000000">
              <w:rPr>
                <w:rtl w:val="0"/>
              </w:rPr>
            </w:r>
          </w:p>
        </w:tc>
      </w:tr>
    </w:tbl>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upstream decomposition supports the main manuscript’s interpretation that the Scenario A multiplier contrast is associated with identifiable MRIO-represented upstream structures. It does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prove fab-level physical efficiency differences, and it does not—and is not intended to—rule out sector-boundary or product-mix differences. Because Eora preserves native sectoral classifications, the embodied multipliers may reflect both real production-network differences and aggregation differences; these differ from the residual-, pseudo-, and balancing-account categories addressed by this audit and reflect MRIO sectoral boundaries rather than fab-level efficiency. The Eora “Undistributed” sector (index 11407) is a Taiwan-native sector; the Japan and US classifications contain no corresponding residual-style named sector.</w:t>
      </w:r>
    </w:p>
    <w:bookmarkStart w:colFirst="0" w:colLast="0" w:name="bookmark=id.tmfml065j07e" w:id="11"/>
    <w:bookmarkEnd w:id="11"/>
    <w:bookmarkStart w:colFirst="0" w:colLast="0" w:name="bookmark=id.p87ow3jowlsa" w:id="12"/>
    <w:bookmarkEnd w:id="12"/>
    <w:p w:rsidR="00000000" w:rsidDel="00000000" w:rsidP="00000000" w:rsidRDefault="00000000" w:rsidRPr="00000000" w14:paraId="00000177">
      <w:pPr>
        <w:pStyle w:val="Heading2"/>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S4. Scenario contrasts and sensitivity diagnostics</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section reports the scenario contrasts and sensitivity diagnostics used to support the mechanism interpretation. All reductions are reported as positive magnitudes. The corresponding signed footprint changes are negative when host multipliers are lower than Taiwan’s baseline.</w:t>
      </w:r>
    </w:p>
    <w:bookmarkStart w:colFirst="0" w:colLast="0" w:name="bookmark=id.lwyjkvgx7sx" w:id="13"/>
    <w:bookmarkEnd w:id="13"/>
    <w:p w:rsidR="00000000" w:rsidDel="00000000" w:rsidP="00000000" w:rsidRDefault="00000000" w:rsidRPr="00000000" w14:paraId="00000179">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S4a. Scenario A / B1a / B1b contrasts for EDGAR CO₂ (sector-specific and descriptive midpoint)</w:t>
      </w:r>
      <w:r w:rsidDel="00000000" w:rsidR="00000000" w:rsidRPr="00000000">
        <w:rPr>
          <w:rtl w:val="0"/>
        </w:rPr>
      </w:r>
    </w:p>
    <w:tbl>
      <w:tblPr>
        <w:tblStyle w:val="Table8"/>
        <w:tblW w:w="102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1575"/>
        <w:gridCol w:w="1650"/>
        <w:gridCol w:w="1800"/>
        <w:gridCol w:w="1845"/>
        <w:gridCol w:w="1800"/>
        <w:gridCol w:w="1590"/>
        <w:tblGridChange w:id="0">
          <w:tblGrid>
            <w:gridCol w:w="1575"/>
            <w:gridCol w:w="1650"/>
            <w:gridCol w:w="1800"/>
            <w:gridCol w:w="1845"/>
            <w:gridCol w:w="1800"/>
            <w:gridCol w:w="1590"/>
          </w:tblGrid>
        </w:tblGridChange>
      </w:tblGrid>
      <w:tr>
        <w:trPr>
          <w:cantSplit w:val="0"/>
          <w:tblHeader w:val="1"/>
        </w:trPr>
        <w:tc>
          <w:tcPr>
            <w:shd w:fill="ffffff" w:val="clear"/>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Host</w:t>
            </w:r>
            <w:r w:rsidDel="00000000" w:rsidR="00000000" w:rsidRPr="00000000">
              <w:rPr>
                <w:rtl w:val="0"/>
              </w:rPr>
            </w:r>
          </w:p>
        </w:tc>
        <w:tc>
          <w:tcPr>
            <w:shd w:fill="ffffff" w:val="clear"/>
            <w:vAlign w:val="cente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Scenario A reduction</w:t>
            </w:r>
            <w:r w:rsidDel="00000000" w:rsidR="00000000" w:rsidRPr="00000000">
              <w:rPr>
                <w:rtl w:val="0"/>
              </w:rPr>
            </w:r>
          </w:p>
        </w:tc>
        <w:tc>
          <w:tcPr>
            <w:shd w:fill="ffffff" w:val="clear"/>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B1a reduction</w:t>
            </w:r>
            <w:r w:rsidDel="00000000" w:rsidR="00000000" w:rsidRPr="00000000">
              <w:rPr>
                <w:rtl w:val="0"/>
              </w:rPr>
            </w:r>
          </w:p>
        </w:tc>
        <w:tc>
          <w:tcPr>
            <w:shd w:fill="ffffff" w:val="clear"/>
            <w:vAlign w:val="cente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B1b reduction</w:t>
            </w:r>
            <w:r w:rsidDel="00000000" w:rsidR="00000000" w:rsidRPr="00000000">
              <w:rPr>
                <w:rtl w:val="0"/>
              </w:rPr>
            </w:r>
          </w:p>
        </w:tc>
        <w:tc>
          <w:tcPr>
            <w:shd w:fill="ffffff" w:val="clear"/>
            <w:vAlign w:val="cente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483813706"/>
                <w:tag w:val="goog_rdk_2"/>
              </w:sdtPr>
              <w:sdtContent>
                <w:r w:rsidDel="00000000" w:rsidR="00000000" w:rsidRPr="00000000">
                  <w:rPr>
                    <w:rFonts w:ascii="Gungsuh" w:cs="Gungsuh" w:eastAsia="Gungsuh" w:hAnsi="Gungsuh"/>
                    <w:b w:val="1"/>
                    <w:bCs w:val="1"/>
                    <w:i w:val="0"/>
                    <w:iCs w:val="0"/>
                    <w:smallCaps w:val="0"/>
                    <w:strike w:val="0"/>
                    <w:color w:val="000000"/>
                    <w:sz w:val="20"/>
                    <w:szCs w:val="20"/>
                    <w:shd w:fill="auto" w:val="clear"/>
                    <w:vertAlign w:val="baseline"/>
                    <w:rtl w:val="0"/>
                  </w:rPr>
                  <w:t xml:space="preserve">B1b − B1a</w:t>
                </w:r>
              </w:sdtContent>
            </w:sdt>
            <w:r w:rsidDel="00000000" w:rsidR="00000000" w:rsidRPr="00000000">
              <w:rPr>
                <w:rtl w:val="0"/>
              </w:rPr>
            </w:r>
          </w:p>
        </w:tc>
        <w:tc>
          <w:tcPr>
            <w:shd w:fill="ffffff" w:val="clear"/>
            <w:vAlign w:val="cente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407838307"/>
                <w:tag w:val="goog_rdk_3"/>
              </w:sdtPr>
              <w:sdtContent>
                <w:r w:rsidDel="00000000" w:rsidR="00000000" w:rsidRPr="00000000">
                  <w:rPr>
                    <w:rFonts w:ascii="Gungsuh" w:cs="Gungsuh" w:eastAsia="Gungsuh" w:hAnsi="Gungsuh"/>
                    <w:b w:val="1"/>
                    <w:bCs w:val="1"/>
                    <w:i w:val="0"/>
                    <w:iCs w:val="0"/>
                    <w:smallCaps w:val="0"/>
                    <w:strike w:val="0"/>
                    <w:color w:val="000000"/>
                    <w:sz w:val="20"/>
                    <w:szCs w:val="20"/>
                    <w:shd w:fill="auto" w:val="clear"/>
                    <w:vertAlign w:val="baseline"/>
                    <w:rtl w:val="0"/>
                  </w:rPr>
                  <w:t xml:space="preserve">A − B1b</w:t>
                </w:r>
              </w:sdtContent>
            </w:sdt>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Semiconductor devices (6072)</w:t>
            </w:r>
            <w:r w:rsidDel="00000000" w:rsidR="00000000" w:rsidRPr="00000000">
              <w:rPr>
                <w:rtl w:val="0"/>
              </w:rPr>
            </w:r>
          </w:p>
        </w:tc>
        <w:tc>
          <w:tcPr>
            <w:shd w:fill="ffffff" w:val="clear"/>
            <w:vAlign w:val="center"/>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89.36%</w:t>
            </w:r>
            <w:r w:rsidDel="00000000" w:rsidR="00000000" w:rsidRPr="00000000">
              <w:rPr>
                <w:rtl w:val="0"/>
              </w:rPr>
            </w:r>
          </w:p>
        </w:tc>
        <w:tc>
          <w:tcPr>
            <w:shd w:fill="ffffff" w:val="clear"/>
            <w:vAlign w:val="center"/>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4.49%</w:t>
            </w:r>
            <w:r w:rsidDel="00000000" w:rsidR="00000000" w:rsidRPr="00000000">
              <w:rPr>
                <w:rtl w:val="0"/>
              </w:rPr>
            </w:r>
          </w:p>
        </w:tc>
        <w:tc>
          <w:tcPr>
            <w:shd w:fill="ffffff" w:val="clear"/>
            <w:vAlign w:val="cente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20.00%</w:t>
            </w:r>
            <w:r w:rsidDel="00000000" w:rsidR="00000000" w:rsidRPr="00000000">
              <w:rPr>
                <w:rtl w:val="0"/>
              </w:rPr>
            </w:r>
          </w:p>
        </w:tc>
        <w:tc>
          <w:tcPr>
            <w:shd w:fill="ffffff" w:val="clear"/>
            <w:vAlign w:val="cente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15.50 pp</w:t>
            </w:r>
            <w:r w:rsidDel="00000000" w:rsidR="00000000" w:rsidRPr="00000000">
              <w:rPr>
                <w:rtl w:val="0"/>
              </w:rPr>
            </w:r>
          </w:p>
        </w:tc>
        <w:tc>
          <w:tcPr>
            <w:shd w:fill="ffffff" w:val="clear"/>
            <w:vAlign w:val="cente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69.36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Integrated circuits (6073)</w:t>
            </w:r>
            <w:r w:rsidDel="00000000" w:rsidR="00000000" w:rsidRPr="00000000">
              <w:rPr>
                <w:rtl w:val="0"/>
              </w:rPr>
            </w:r>
          </w:p>
        </w:tc>
        <w:tc>
          <w:tcPr>
            <w:shd w:fill="ffffff" w:val="clear"/>
            <w:vAlign w:val="center"/>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88.48%</w:t>
            </w:r>
            <w:r w:rsidDel="00000000" w:rsidR="00000000" w:rsidRPr="00000000">
              <w:rPr>
                <w:rtl w:val="0"/>
              </w:rPr>
            </w:r>
          </w:p>
        </w:tc>
        <w:tc>
          <w:tcPr>
            <w:shd w:fill="ffffff" w:val="clear"/>
            <w:vAlign w:val="cente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5.22%</w:t>
            </w:r>
            <w:r w:rsidDel="00000000" w:rsidR="00000000" w:rsidRPr="00000000">
              <w:rPr>
                <w:rtl w:val="0"/>
              </w:rPr>
            </w:r>
          </w:p>
        </w:tc>
        <w:tc>
          <w:tcPr>
            <w:shd w:fill="ffffff" w:val="clear"/>
            <w:vAlign w:val="cente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20.72%</w:t>
            </w:r>
            <w:r w:rsidDel="00000000" w:rsidR="00000000" w:rsidRPr="00000000">
              <w:rPr>
                <w:rtl w:val="0"/>
              </w:rPr>
            </w:r>
          </w:p>
        </w:tc>
        <w:tc>
          <w:tcPr>
            <w:shd w:fill="ffffff" w:val="clear"/>
            <w:vAlign w:val="center"/>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15.50 pp</w:t>
            </w:r>
            <w:r w:rsidDel="00000000" w:rsidR="00000000" w:rsidRPr="00000000">
              <w:rPr>
                <w:rtl w:val="0"/>
              </w:rPr>
            </w:r>
          </w:p>
        </w:tc>
        <w:tc>
          <w:tcPr>
            <w:shd w:fill="ffffff" w:val="clear"/>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67.75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88.92%</w:t>
            </w:r>
            <w:r w:rsidDel="00000000" w:rsidR="00000000" w:rsidRPr="00000000">
              <w:rPr>
                <w:rtl w:val="0"/>
              </w:rPr>
            </w:r>
          </w:p>
        </w:tc>
        <w:tc>
          <w:tcPr>
            <w:shd w:fill="ffffff" w:val="clear"/>
            <w:vAlign w:val="center"/>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4.86%</w:t>
            </w:r>
            <w:r w:rsidDel="00000000" w:rsidR="00000000" w:rsidRPr="00000000">
              <w:rPr>
                <w:rtl w:val="0"/>
              </w:rPr>
            </w:r>
          </w:p>
        </w:tc>
        <w:tc>
          <w:tcPr>
            <w:shd w:fill="ffffff" w:val="clear"/>
            <w:vAlign w:val="center"/>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20.36%</w:t>
            </w:r>
            <w:r w:rsidDel="00000000" w:rsidR="00000000" w:rsidRPr="00000000">
              <w:rPr>
                <w:rtl w:val="0"/>
              </w:rPr>
            </w:r>
          </w:p>
        </w:tc>
        <w:tc>
          <w:tcPr>
            <w:shd w:fill="ffffff" w:val="clear"/>
            <w:vAlign w:val="cente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15.50 pp</w:t>
            </w:r>
            <w:r w:rsidDel="00000000" w:rsidR="00000000" w:rsidRPr="00000000">
              <w:rPr>
                <w:rtl w:val="0"/>
              </w:rPr>
            </w:r>
          </w:p>
        </w:tc>
        <w:tc>
          <w:tcPr>
            <w:shd w:fill="ffffff" w:val="clear"/>
            <w:vAlign w:val="center"/>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68.56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93.55%</w:t>
            </w:r>
            <w:r w:rsidDel="00000000" w:rsidR="00000000" w:rsidRPr="00000000">
              <w:rPr>
                <w:rtl w:val="0"/>
              </w:rPr>
            </w:r>
          </w:p>
        </w:tc>
        <w:tc>
          <w:tcPr>
            <w:shd w:fill="ffffff" w:val="clear"/>
            <w:vAlign w:val="center"/>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5.88%</w:t>
            </w:r>
            <w:r w:rsidDel="00000000" w:rsidR="00000000" w:rsidRPr="00000000">
              <w:rPr>
                <w:rtl w:val="0"/>
              </w:rPr>
            </w:r>
          </w:p>
        </w:tc>
        <w:tc>
          <w:tcPr>
            <w:shd w:fill="ffffff" w:val="clear"/>
            <w:vAlign w:val="center"/>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22.94%</w:t>
            </w:r>
            <w:r w:rsidDel="00000000" w:rsidR="00000000" w:rsidRPr="00000000">
              <w:rPr>
                <w:rtl w:val="0"/>
              </w:rPr>
            </w:r>
          </w:p>
        </w:tc>
        <w:tc>
          <w:tcPr>
            <w:shd w:fill="ffffff" w:val="clear"/>
            <w:vAlign w:val="center"/>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17.06 pp</w:t>
            </w:r>
            <w:r w:rsidDel="00000000" w:rsidR="00000000" w:rsidRPr="00000000">
              <w:rPr>
                <w:rtl w:val="0"/>
              </w:rPr>
            </w:r>
          </w:p>
        </w:tc>
        <w:tc>
          <w:tcPr>
            <w:shd w:fill="ffffff" w:val="clear"/>
            <w:vAlign w:val="center"/>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70.61 pp</w:t>
            </w:r>
            <w:r w:rsidDel="00000000" w:rsidR="00000000" w:rsidRPr="00000000">
              <w:rPr>
                <w:rtl w:val="0"/>
              </w:rPr>
            </w:r>
          </w:p>
        </w:tc>
      </w:tr>
    </w:tbl>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sdt>
        <w:sdtPr>
          <w:id w:val="-1736694262"/>
          <w:tag w:val="goog_rdk_4"/>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B1a retains Taiwan’s input structure and substitutes only the target sector’s direct satellite intensity. B1b is cumulative over B1a and additionally reassigns the direct electricity-input coefficient to the host electricity sector while holding the monetary input coefficient unchanged. The gaps across Scenario A, B1b, and B1a are scenario-based contrasts that track sensitivity to stepwise counterfactual assumptions, not a causal or Shapley-type decomposition. The A − B1b gap is the largest remaining gap and reflects host production-network embedding rather than target-sector direct intensity or direct electricity-input reassignment alone (Fig. S1). B1b reassigns only the direct electricity input and leaves the indirect electricity embodied through other Taiwan upstream suppliers unchanged, so it does not capture all of Taiwan’s electricity-related embodied emissions.</w:t>
          </w:r>
        </w:sdtContent>
      </w:sdt>
    </w:p>
    <w:bookmarkStart w:colFirst="0" w:colLast="0" w:name="bookmark=id.av8xzfs1jr5v" w:id="14"/>
    <w:bookmarkEnd w:id="14"/>
    <w:bookmarkStart w:colFirst="0" w:colLast="0" w:name="bookmark=id.wfk9ur6pvezr" w:id="15"/>
    <w:bookmarkEnd w:id="15"/>
    <w:p w:rsidR="00000000" w:rsidDel="00000000" w:rsidP="00000000" w:rsidRDefault="00000000" w:rsidRPr="00000000" w14:paraId="00000199">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S4b. RS-CLEAN host-electricity decarbonization sensitivity</w:t>
      </w:r>
      <w:r w:rsidDel="00000000" w:rsidR="00000000" w:rsidRPr="00000000">
        <w:rPr>
          <w:rtl w:val="0"/>
        </w:rPr>
      </w:r>
    </w:p>
    <w:tbl>
      <w:tblPr>
        <w:tblStyle w:val="Table9"/>
        <w:tblW w:w="98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1830"/>
        <w:gridCol w:w="2955"/>
        <w:gridCol w:w="2505"/>
        <w:gridCol w:w="2580"/>
        <w:tblGridChange w:id="0">
          <w:tblGrid>
            <w:gridCol w:w="1830"/>
            <w:gridCol w:w="2955"/>
            <w:gridCol w:w="2505"/>
            <w:gridCol w:w="2580"/>
          </w:tblGrid>
        </w:tblGridChange>
      </w:tblGrid>
      <w:tr>
        <w:trPr>
          <w:cantSplit w:val="0"/>
          <w:tblHeader w:val="1"/>
        </w:trPr>
        <w:tc>
          <w:tcPr>
            <w:shd w:fill="ffffff" w:val="clear"/>
            <w:vAlign w:val="center"/>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Host</w:t>
            </w:r>
            <w:r w:rsidDel="00000000" w:rsidR="00000000" w:rsidRPr="00000000">
              <w:rPr>
                <w:rtl w:val="0"/>
              </w:rPr>
            </w:r>
          </w:p>
        </w:tc>
        <w:tc>
          <w:tcPr>
            <w:shd w:fill="ffffff" w:val="clear"/>
            <w:vAlign w:val="center"/>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Host electricity CO₂ reduction</w:t>
            </w:r>
            <w:r w:rsidDel="00000000" w:rsidR="00000000" w:rsidRPr="00000000">
              <w:rPr>
                <w:rtl w:val="0"/>
              </w:rPr>
            </w:r>
          </w:p>
        </w:tc>
        <w:tc>
          <w:tcPr>
            <w:shd w:fill="ffffff" w:val="clear"/>
            <w:vAlign w:val="center"/>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Scenario A CO₂ reduction</w:t>
            </w:r>
            <w:r w:rsidDel="00000000" w:rsidR="00000000" w:rsidRPr="00000000">
              <w:rPr>
                <w:rtl w:val="0"/>
              </w:rPr>
            </w:r>
          </w:p>
        </w:tc>
        <w:tc>
          <w:tcPr>
            <w:shd w:fill="ffffff" w:val="clear"/>
            <w:vAlign w:val="center"/>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Marginal gain vs 0%</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shd w:fill="ffffff" w:val="clear"/>
            <w:vAlign w:val="center"/>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88.92%</w:t>
            </w:r>
            <w:r w:rsidDel="00000000" w:rsidR="00000000" w:rsidRPr="00000000">
              <w:rPr>
                <w:rtl w:val="0"/>
              </w:rPr>
            </w:r>
          </w:p>
        </w:tc>
        <w:tc>
          <w:tcPr>
            <w:shd w:fill="ffffff" w:val="clear"/>
            <w:vAlign w:val="center"/>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50%</w:t>
            </w:r>
            <w:r w:rsidDel="00000000" w:rsidR="00000000" w:rsidRPr="00000000">
              <w:rPr>
                <w:rtl w:val="0"/>
              </w:rPr>
            </w:r>
          </w:p>
        </w:tc>
        <w:tc>
          <w:tcPr>
            <w:shd w:fill="ffffff" w:val="clear"/>
            <w:vAlign w:val="center"/>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90.72%</w:t>
            </w:r>
            <w:r w:rsidDel="00000000" w:rsidR="00000000" w:rsidRPr="00000000">
              <w:rPr>
                <w:rtl w:val="0"/>
              </w:rPr>
            </w:r>
          </w:p>
        </w:tc>
        <w:tc>
          <w:tcPr>
            <w:shd w:fill="ffffff" w:val="clear"/>
            <w:vAlign w:val="center"/>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+1.80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75%</w:t>
            </w:r>
            <w:r w:rsidDel="00000000" w:rsidR="00000000" w:rsidRPr="00000000">
              <w:rPr>
                <w:rtl w:val="0"/>
              </w:rPr>
            </w:r>
          </w:p>
        </w:tc>
        <w:tc>
          <w:tcPr>
            <w:shd w:fill="ffffff" w:val="clear"/>
            <w:vAlign w:val="center"/>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91.62%</w:t>
            </w:r>
            <w:r w:rsidDel="00000000" w:rsidR="00000000" w:rsidRPr="00000000">
              <w:rPr>
                <w:rtl w:val="0"/>
              </w:rPr>
            </w:r>
          </w:p>
        </w:tc>
        <w:tc>
          <w:tcPr>
            <w:shd w:fill="ffffff" w:val="clear"/>
            <w:vAlign w:val="center"/>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+2.71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100%</w:t>
            </w:r>
            <w:r w:rsidDel="00000000" w:rsidR="00000000" w:rsidRPr="00000000">
              <w:rPr>
                <w:rtl w:val="0"/>
              </w:rPr>
            </w:r>
          </w:p>
        </w:tc>
        <w:tc>
          <w:tcPr>
            <w:shd w:fill="ffffff" w:val="clear"/>
            <w:vAlign w:val="center"/>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92.53%</w:t>
            </w:r>
            <w:r w:rsidDel="00000000" w:rsidR="00000000" w:rsidRPr="00000000">
              <w:rPr>
                <w:rtl w:val="0"/>
              </w:rPr>
            </w:r>
          </w:p>
        </w:tc>
        <w:tc>
          <w:tcPr>
            <w:shd w:fill="ffffff" w:val="clear"/>
            <w:vAlign w:val="center"/>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+3.61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w:t>
            </w:r>
            <w:r w:rsidDel="00000000" w:rsidR="00000000" w:rsidRPr="00000000">
              <w:rPr>
                <w:rtl w:val="0"/>
              </w:rPr>
            </w:r>
          </w:p>
        </w:tc>
        <w:tc>
          <w:tcPr>
            <w:shd w:fill="ffffff" w:val="clear"/>
            <w:vAlign w:val="center"/>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93.55%</w:t>
            </w:r>
            <w:r w:rsidDel="00000000" w:rsidR="00000000" w:rsidRPr="00000000">
              <w:rPr>
                <w:rtl w:val="0"/>
              </w:rPr>
            </w:r>
          </w:p>
        </w:tc>
        <w:tc>
          <w:tcPr>
            <w:shd w:fill="ffffff" w:val="clear"/>
            <w:vAlign w:val="center"/>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50%</w:t>
            </w:r>
            <w:r w:rsidDel="00000000" w:rsidR="00000000" w:rsidRPr="00000000">
              <w:rPr>
                <w:rtl w:val="0"/>
              </w:rPr>
            </w:r>
          </w:p>
        </w:tc>
        <w:tc>
          <w:tcPr>
            <w:shd w:fill="ffffff" w:val="clear"/>
            <w:vAlign w:val="center"/>
          </w:tcPr>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93.66%</w:t>
            </w:r>
            <w:r w:rsidDel="00000000" w:rsidR="00000000" w:rsidRPr="00000000">
              <w:rPr>
                <w:rtl w:val="0"/>
              </w:rPr>
            </w:r>
          </w:p>
        </w:tc>
        <w:tc>
          <w:tcPr>
            <w:shd w:fill="ffffff" w:val="clear"/>
            <w:vAlign w:val="center"/>
          </w:tcPr>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+0.11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75%</w:t>
            </w:r>
            <w:r w:rsidDel="00000000" w:rsidR="00000000" w:rsidRPr="00000000">
              <w:rPr>
                <w:rtl w:val="0"/>
              </w:rPr>
            </w:r>
          </w:p>
        </w:tc>
        <w:tc>
          <w:tcPr>
            <w:shd w:fill="ffffff" w:val="clear"/>
            <w:vAlign w:val="center"/>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93.71%</w:t>
            </w:r>
            <w:r w:rsidDel="00000000" w:rsidR="00000000" w:rsidRPr="00000000">
              <w:rPr>
                <w:rtl w:val="0"/>
              </w:rPr>
            </w:r>
          </w:p>
        </w:tc>
        <w:tc>
          <w:tcPr>
            <w:shd w:fill="ffffff" w:val="clear"/>
            <w:vAlign w:val="center"/>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+0.16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100%</w:t>
            </w:r>
            <w:r w:rsidDel="00000000" w:rsidR="00000000" w:rsidRPr="00000000">
              <w:rPr>
                <w:rtl w:val="0"/>
              </w:rPr>
            </w:r>
          </w:p>
        </w:tc>
        <w:tc>
          <w:tcPr>
            <w:shd w:fill="ffffff" w:val="clear"/>
            <w:vAlign w:val="center"/>
          </w:tcPr>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93.77%</w:t>
            </w:r>
            <w:r w:rsidDel="00000000" w:rsidR="00000000" w:rsidRPr="00000000">
              <w:rPr>
                <w:rtl w:val="0"/>
              </w:rPr>
            </w:r>
          </w:p>
        </w:tc>
        <w:tc>
          <w:tcPr>
            <w:shd w:fill="ffffff" w:val="clear"/>
            <w:vAlign w:val="center"/>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+0.22 pp</w:t>
            </w:r>
            <w:r w:rsidDel="00000000" w:rsidR="00000000" w:rsidRPr="00000000">
              <w:rPr>
                <w:rtl w:val="0"/>
              </w:rPr>
            </w:r>
          </w:p>
        </w:tc>
      </w:tr>
    </w:tbl>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RS-CLEAN reduces the host electricity sector’s CO₂ intensity by 50%, 75%, and 100%. The marginal effects are modest for Japan and very small for the United States (Fig. S3). The small US increment reflects both the already low US semiconductor embodied multiplier and the small contribution of the selected US electricity sectors to that multiplier under the EDGAR allocation. Host electricity sector sets: Japan — index 6132 (main), 6133 (on-site), 6135 (steam); United States (Industries side) — index 13240 (main), 13628 (Federal), 13631 (State and local government utilities).</w:t>
      </w:r>
    </w:p>
    <w:bookmarkStart w:colFirst="0" w:colLast="0" w:name="bookmark=id.m7qwiaoodgm9" w:id="16"/>
    <w:bookmarkEnd w:id="16"/>
    <w:bookmarkStart w:colFirst="0" w:colLast="0" w:name="bookmark=id.8b6311q6rcf3" w:id="17"/>
    <w:bookmarkEnd w:id="17"/>
    <w:p w:rsidR="00000000" w:rsidDel="00000000" w:rsidP="00000000" w:rsidRDefault="00000000" w:rsidRPr="00000000" w14:paraId="000001BF">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S4c. US electricity and semiconductor entity diagnostics</w:t>
      </w:r>
      <w:r w:rsidDel="00000000" w:rsidR="00000000" w:rsidRPr="00000000">
        <w:rPr>
          <w:rtl w:val="0"/>
        </w:rPr>
      </w:r>
    </w:p>
    <w:tbl>
      <w:tblPr>
        <w:tblStyle w:val="Table10"/>
        <w:tblW w:w="97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2220"/>
        <w:gridCol w:w="2325"/>
        <w:gridCol w:w="2190"/>
        <w:gridCol w:w="2985"/>
        <w:tblGridChange w:id="0">
          <w:tblGrid>
            <w:gridCol w:w="2220"/>
            <w:gridCol w:w="2325"/>
            <w:gridCol w:w="2190"/>
            <w:gridCol w:w="2985"/>
          </w:tblGrid>
        </w:tblGridChange>
      </w:tblGrid>
      <w:tr>
        <w:trPr>
          <w:cantSplit w:val="0"/>
          <w:tblHeader w:val="1"/>
        </w:trPr>
        <w:tc>
          <w:tcPr>
            <w:shd w:fill="ffffff" w:val="clear"/>
            <w:vAlign w:val="center"/>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Diagnostic</w:t>
            </w:r>
            <w:r w:rsidDel="00000000" w:rsidR="00000000" w:rsidRPr="00000000">
              <w:rPr>
                <w:rtl w:val="0"/>
              </w:rPr>
            </w:r>
          </w:p>
        </w:tc>
        <w:tc>
          <w:tcPr>
            <w:shd w:fill="ffffff" w:val="clear"/>
            <w:vAlign w:val="center"/>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Baseline / main specification</w:t>
            </w:r>
            <w:r w:rsidDel="00000000" w:rsidR="00000000" w:rsidRPr="00000000">
              <w:rPr>
                <w:rtl w:val="0"/>
              </w:rPr>
            </w:r>
          </w:p>
        </w:tc>
        <w:tc>
          <w:tcPr>
            <w:shd w:fill="ffffff" w:val="clear"/>
            <w:vAlign w:val="center"/>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Alternative specification</w:t>
            </w:r>
            <w:r w:rsidDel="00000000" w:rsidR="00000000" w:rsidRPr="00000000">
              <w:rPr>
                <w:rtl w:val="0"/>
              </w:rPr>
            </w:r>
          </w:p>
        </w:tc>
        <w:tc>
          <w:tcPr>
            <w:shd w:fill="ffffff" w:val="clear"/>
            <w:vAlign w:val="center"/>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Effect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 Scenario A EDGAR-native correction</w:t>
            </w:r>
            <w:r w:rsidDel="00000000" w:rsidR="00000000" w:rsidRPr="00000000">
              <w:rPr>
                <w:rtl w:val="0"/>
              </w:rPr>
            </w:r>
          </w:p>
        </w:tc>
        <w:tc>
          <w:tcPr>
            <w:shd w:fill="ffffff" w:val="clear"/>
            <w:vAlign w:val="center"/>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93.5504% reduction</w:t>
            </w:r>
            <w:r w:rsidDel="00000000" w:rsidR="00000000" w:rsidRPr="00000000">
              <w:rPr>
                <w:rtl w:val="0"/>
              </w:rPr>
            </w:r>
          </w:p>
        </w:tc>
        <w:tc>
          <w:tcPr>
            <w:shd w:fill="ffffff" w:val="clear"/>
            <w:vAlign w:val="center"/>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92.6615% reduction</w:t>
            </w:r>
            <w:r w:rsidDel="00000000" w:rsidR="00000000" w:rsidRPr="00000000">
              <w:rPr>
                <w:rtl w:val="0"/>
              </w:rPr>
            </w:r>
          </w:p>
        </w:tc>
        <w:tc>
          <w:tcPr>
            <w:shd w:fill="ffffff" w:val="clear"/>
            <w:vAlign w:val="cente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Reported reduction magnitude decreases by 0.89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 B1b electricity entity diagnostic</w:t>
            </w:r>
            <w:r w:rsidDel="00000000" w:rsidR="00000000" w:rsidRPr="00000000">
              <w:rPr>
                <w:rtl w:val="0"/>
              </w:rPr>
            </w:r>
          </w:p>
        </w:tc>
        <w:tc>
          <w:tcPr>
            <w:shd w:fill="ffffff" w:val="clear"/>
            <w:vAlign w:val="cente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Industries-side electricity sector 13240</w:t>
            </w:r>
            <w:r w:rsidDel="00000000" w:rsidR="00000000" w:rsidRPr="00000000">
              <w:rPr>
                <w:rtl w:val="0"/>
              </w:rPr>
            </w:r>
          </w:p>
        </w:tc>
        <w:tc>
          <w:tcPr>
            <w:shd w:fill="ffffff" w:val="clear"/>
            <w:vAlign w:val="cente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Commodities-side same-named sector 13669</w:t>
            </w:r>
            <w:r w:rsidDel="00000000" w:rsidR="00000000" w:rsidRPr="00000000">
              <w:rPr>
                <w:rtl w:val="0"/>
              </w:rPr>
            </w:r>
          </w:p>
        </w:tc>
        <w:tc>
          <w:tcPr>
            <w:shd w:fill="ffffff" w:val="clear"/>
            <w:vAlign w:val="center"/>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Change in United States B1b CO₂ below 0.1 pp, approximately +0.07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 electricity entity consistency</w:t>
            </w:r>
            <w:r w:rsidDel="00000000" w:rsidR="00000000" w:rsidRPr="00000000">
              <w:rPr>
                <w:rtl w:val="0"/>
              </w:rPr>
            </w:r>
          </w:p>
        </w:tc>
        <w:tc>
          <w:tcPr>
            <w:shd w:fill="ffffff" w:val="clear"/>
            <w:vAlign w:val="center"/>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 semiconductor sector 13452 on Industries side</w:t>
            </w:r>
            <w:r w:rsidDel="00000000" w:rsidR="00000000" w:rsidRPr="00000000">
              <w:rPr>
                <w:rtl w:val="0"/>
              </w:rPr>
            </w:r>
          </w:p>
        </w:tc>
        <w:tc>
          <w:tcPr>
            <w:shd w:fill="ffffff" w:val="clear"/>
            <w:vAlign w:val="center"/>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EDGAR + Industries-side 13240 is the main manuscript specification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US semiconductor entity diagnostic</w:t>
            </w:r>
            <w:r w:rsidDel="00000000" w:rsidR="00000000" w:rsidRPr="00000000">
              <w:rPr>
                <w:rtl w:val="0"/>
              </w:rPr>
            </w:r>
          </w:p>
        </w:tc>
        <w:tc>
          <w:tcPr>
            <w:shd w:fill="ffffff" w:val="clear"/>
            <w:vAlign w:val="center"/>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Industries-side sector 13452 (Scenario A reduction 93.550%)</w:t>
            </w:r>
            <w:r w:rsidDel="00000000" w:rsidR="00000000" w:rsidRPr="00000000">
              <w:rPr>
                <w:rtl w:val="0"/>
              </w:rPr>
            </w:r>
          </w:p>
        </w:tc>
        <w:tc>
          <w:tcPr>
            <w:shd w:fill="ffffff" w:val="clear"/>
            <w:vAlign w:val="center"/>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Commodities-side same-named sector 13881 (93.544%)</w:t>
            </w:r>
            <w:r w:rsidDel="00000000" w:rsidR="00000000" w:rsidRPr="00000000">
              <w:rPr>
                <w:rtl w:val="0"/>
              </w:rPr>
            </w:r>
          </w:p>
        </w:tc>
        <w:tc>
          <w:tcPr>
            <w:shd w:fill="ffffff" w:val="clear"/>
            <w:vAlign w:val="center"/>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Scenario A CO₂ reduction changes by 0.006 pp</w:t>
            </w:r>
            <w:r w:rsidDel="00000000" w:rsidR="00000000" w:rsidRPr="00000000">
              <w:rPr>
                <w:rtl w:val="0"/>
              </w:rPr>
            </w:r>
          </w:p>
        </w:tc>
      </w:tr>
    </w:tbl>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EDGAR-native correction replaces the US electricity-sector CO₂ allocation with a native-intensity benchmark. It is a diagnostic rather than an independent robustness result because the native I-GHG series is frozen. The US electricity-entity diagnostic checks whether using the same-named Commodities-side electricity entity instead of the Industries-side electricity sector affects B1b; the conclusion is not sensitive to this entity choice. The semiconductor-entity diagnostic is limited to Scenario A: using the same-named Commodities-side semiconductor entity (13881) instead of the Industries-side entity (13452) changes the Scenario A CO₂ reduction by 0.006 percentage points; B1a and B1b were not recomputed for this auxiliary diagnostic.</w:t>
      </w:r>
    </w:p>
    <w:bookmarkStart w:colFirst="0" w:colLast="0" w:name="bookmark=id.gbjdtsvqdm6j" w:id="18"/>
    <w:bookmarkEnd w:id="18"/>
    <w:p w:rsidR="00000000" w:rsidDel="00000000" w:rsidP="00000000" w:rsidRDefault="00000000" w:rsidRPr="00000000" w14:paraId="000001D5">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S4d. 2019 cross-section robustness</w:t>
      </w:r>
      <w:r w:rsidDel="00000000" w:rsidR="00000000" w:rsidRPr="00000000">
        <w:rPr>
          <w:rtl w:val="0"/>
        </w:rPr>
      </w:r>
    </w:p>
    <w:tbl>
      <w:tblPr>
        <w:tblStyle w:val="Table1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810"/>
        <w:gridCol w:w="1605"/>
        <w:gridCol w:w="1500"/>
        <w:gridCol w:w="1170"/>
        <w:gridCol w:w="1245"/>
        <w:gridCol w:w="1110"/>
        <w:gridCol w:w="2760"/>
        <w:tblGridChange w:id="0">
          <w:tblGrid>
            <w:gridCol w:w="810"/>
            <w:gridCol w:w="1605"/>
            <w:gridCol w:w="1500"/>
            <w:gridCol w:w="1170"/>
            <w:gridCol w:w="1245"/>
            <w:gridCol w:w="1110"/>
            <w:gridCol w:w="2760"/>
          </w:tblGrid>
        </w:tblGridChange>
      </w:tblGrid>
      <w:tr>
        <w:trPr>
          <w:cantSplit w:val="0"/>
          <w:tblHeader w:val="1"/>
        </w:trPr>
        <w:tc>
          <w:tcPr>
            <w:shd w:fill="ffffff" w:val="clear"/>
            <w:vAlign w:val="cente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Year</w:t>
            </w:r>
            <w:r w:rsidDel="00000000" w:rsidR="00000000" w:rsidRPr="00000000">
              <w:rPr>
                <w:rtl w:val="0"/>
              </w:rPr>
            </w:r>
          </w:p>
        </w:tc>
        <w:tc>
          <w:tcPr>
            <w:shd w:fill="ffffff" w:val="clear"/>
            <w:vAlign w:val="center"/>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Host</w:t>
            </w:r>
            <w:r w:rsidDel="00000000" w:rsidR="00000000" w:rsidRPr="00000000">
              <w:rPr>
                <w:rtl w:val="0"/>
              </w:rPr>
            </w:r>
          </w:p>
        </w:tc>
        <w:tc>
          <w:tcPr>
            <w:shd w:fill="ffffff" w:val="clear"/>
            <w:vAlign w:val="center"/>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Scenario A CO₂ reduction</w:t>
            </w:r>
            <w:r w:rsidDel="00000000" w:rsidR="00000000" w:rsidRPr="00000000">
              <w:rPr>
                <w:rtl w:val="0"/>
              </w:rPr>
            </w:r>
          </w:p>
        </w:tc>
        <w:tc>
          <w:tcPr>
            <w:shd w:fill="ffffff" w:val="clear"/>
            <w:vAlign w:val="center"/>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B1a CO₂ reduction</w:t>
            </w:r>
            <w:r w:rsidDel="00000000" w:rsidR="00000000" w:rsidRPr="00000000">
              <w:rPr>
                <w:rtl w:val="0"/>
              </w:rPr>
            </w:r>
          </w:p>
        </w:tc>
        <w:tc>
          <w:tcPr>
            <w:shd w:fill="ffffff" w:val="clear"/>
            <w:vAlign w:val="center"/>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B1b CO₂ reduction</w:t>
            </w:r>
            <w:r w:rsidDel="00000000" w:rsidR="00000000" w:rsidRPr="00000000">
              <w:rPr>
                <w:rtl w:val="0"/>
              </w:rPr>
            </w:r>
          </w:p>
        </w:tc>
        <w:tc>
          <w:tcPr>
            <w:shd w:fill="ffffff" w:val="clear"/>
            <w:vAlign w:val="center"/>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473159939"/>
                <w:tag w:val="goog_rdk_5"/>
              </w:sdtPr>
              <w:sdtContent>
                <w:r w:rsidDel="00000000" w:rsidR="00000000" w:rsidRPr="00000000">
                  <w:rPr>
                    <w:rFonts w:ascii="Gungsuh" w:cs="Gungsuh" w:eastAsia="Gungsuh" w:hAnsi="Gungsuh"/>
                    <w:b w:val="1"/>
                    <w:bCs w:val="1"/>
                    <w:i w:val="0"/>
                    <w:iCs w:val="0"/>
                    <w:smallCaps w:val="0"/>
                    <w:strike w:val="0"/>
                    <w:color w:val="000000"/>
                    <w:sz w:val="20"/>
                    <w:szCs w:val="20"/>
                    <w:shd w:fill="auto" w:val="clear"/>
                    <w:vertAlign w:val="baseline"/>
                    <w:rtl w:val="0"/>
                  </w:rPr>
                  <w:t xml:space="preserve">A − B1b gap</w:t>
                </w:r>
              </w:sdtContent>
            </w:sdt>
            <w:r w:rsidDel="00000000" w:rsidR="00000000" w:rsidRPr="00000000">
              <w:rPr>
                <w:rtl w:val="0"/>
              </w:rPr>
            </w:r>
          </w:p>
        </w:tc>
        <w:tc>
          <w:tcPr>
            <w:shd w:fill="ffffff" w:val="clear"/>
            <w:vAlign w:val="center"/>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Interpretation</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2019</w:t>
            </w:r>
            <w:r w:rsidDel="00000000" w:rsidR="00000000" w:rsidRPr="00000000">
              <w:rPr>
                <w:rtl w:val="0"/>
              </w:rPr>
            </w:r>
          </w:p>
        </w:tc>
        <w:tc>
          <w:tcPr>
            <w:shd w:fill="ffffff" w:val="clear"/>
            <w:vAlign w:val="center"/>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87.80%</w:t>
            </w:r>
            <w:r w:rsidDel="00000000" w:rsidR="00000000" w:rsidRPr="00000000">
              <w:rPr>
                <w:rtl w:val="0"/>
              </w:rPr>
            </w:r>
          </w:p>
        </w:tc>
        <w:tc>
          <w:tcPr>
            <w:shd w:fill="ffffff" w:val="clear"/>
            <w:vAlign w:val="center"/>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4.83%</w:t>
            </w:r>
            <w:r w:rsidDel="00000000" w:rsidR="00000000" w:rsidRPr="00000000">
              <w:rPr>
                <w:rtl w:val="0"/>
              </w:rPr>
            </w:r>
          </w:p>
        </w:tc>
        <w:tc>
          <w:tcPr>
            <w:shd w:fill="ffffff" w:val="clear"/>
            <w:vAlign w:val="center"/>
          </w:tcPr>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20.42%</w:t>
            </w:r>
            <w:r w:rsidDel="00000000" w:rsidR="00000000" w:rsidRPr="00000000">
              <w:rPr>
                <w:rtl w:val="0"/>
              </w:rPr>
            </w:r>
          </w:p>
        </w:tc>
        <w:tc>
          <w:tcPr>
            <w:shd w:fill="ffffff" w:val="clear"/>
            <w:vAlign w:val="center"/>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67.39 pp</w:t>
            </w:r>
            <w:r w:rsidDel="00000000" w:rsidR="00000000" w:rsidRPr="00000000">
              <w:rPr>
                <w:rtl w:val="0"/>
              </w:rPr>
            </w:r>
          </w:p>
        </w:tc>
        <w:tc>
          <w:tcPr>
            <w:shd w:fill="ffffff" w:val="clear"/>
            <w:vAlign w:val="center"/>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Same A &gt; B1b &gt; B1a hierarchy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2019</w:t>
            </w:r>
            <w:r w:rsidDel="00000000" w:rsidR="00000000" w:rsidRPr="00000000">
              <w:rPr>
                <w:rtl w:val="0"/>
              </w:rPr>
            </w:r>
          </w:p>
        </w:tc>
        <w:tc>
          <w:tcPr>
            <w:shd w:fill="ffffff" w:val="clear"/>
            <w:vAlign w:val="center"/>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91.11%</w:t>
            </w:r>
            <w:r w:rsidDel="00000000" w:rsidR="00000000" w:rsidRPr="00000000">
              <w:rPr>
                <w:rtl w:val="0"/>
              </w:rPr>
            </w:r>
          </w:p>
        </w:tc>
        <w:tc>
          <w:tcPr>
            <w:shd w:fill="ffffff" w:val="clear"/>
            <w:vAlign w:val="center"/>
          </w:tcPr>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5.04%</w:t>
            </w:r>
            <w:r w:rsidDel="00000000" w:rsidR="00000000" w:rsidRPr="00000000">
              <w:rPr>
                <w:rtl w:val="0"/>
              </w:rPr>
            </w:r>
          </w:p>
        </w:tc>
        <w:tc>
          <w:tcPr>
            <w:shd w:fill="ffffff" w:val="clear"/>
            <w:vAlign w:val="center"/>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20.15%</w:t>
            </w:r>
            <w:r w:rsidDel="00000000" w:rsidR="00000000" w:rsidRPr="00000000">
              <w:rPr>
                <w:rtl w:val="0"/>
              </w:rPr>
            </w:r>
          </w:p>
        </w:tc>
        <w:tc>
          <w:tcPr>
            <w:shd w:fill="ffffff" w:val="clear"/>
            <w:vAlign w:val="center"/>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70.97 pp</w:t>
            </w:r>
            <w:r w:rsidDel="00000000" w:rsidR="00000000" w:rsidRPr="00000000">
              <w:rPr>
                <w:rtl w:val="0"/>
              </w:rPr>
            </w:r>
          </w:p>
        </w:tc>
        <w:tc>
          <w:tcPr>
            <w:shd w:fill="ffffff" w:val="clear"/>
            <w:vAlign w:val="center"/>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Same A &gt; B1b &gt; B1a hierarchy</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2022</w:t>
            </w:r>
            <w:r w:rsidDel="00000000" w:rsidR="00000000" w:rsidRPr="00000000">
              <w:rPr>
                <w:rtl w:val="0"/>
              </w:rPr>
            </w:r>
          </w:p>
        </w:tc>
        <w:tc>
          <w:tcPr>
            <w:shd w:fill="ffffff" w:val="clear"/>
            <w:vAlign w:val="center"/>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 average</w:t>
            </w:r>
            <w:r w:rsidDel="00000000" w:rsidR="00000000" w:rsidRPr="00000000">
              <w:rPr>
                <w:rtl w:val="0"/>
              </w:rPr>
            </w:r>
          </w:p>
        </w:tc>
        <w:tc>
          <w:tcPr>
            <w:shd w:fill="ffffff" w:val="clear"/>
            <w:vAlign w:val="center"/>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88.92%</w:t>
            </w:r>
            <w:r w:rsidDel="00000000" w:rsidR="00000000" w:rsidRPr="00000000">
              <w:rPr>
                <w:rtl w:val="0"/>
              </w:rPr>
            </w:r>
          </w:p>
        </w:tc>
        <w:tc>
          <w:tcPr>
            <w:shd w:fill="ffffff" w:val="clear"/>
            <w:vAlign w:val="center"/>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4.86%</w:t>
            </w:r>
            <w:r w:rsidDel="00000000" w:rsidR="00000000" w:rsidRPr="00000000">
              <w:rPr>
                <w:rtl w:val="0"/>
              </w:rPr>
            </w:r>
          </w:p>
        </w:tc>
        <w:tc>
          <w:tcPr>
            <w:shd w:fill="ffffff" w:val="clear"/>
            <w:vAlign w:val="center"/>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20.36%</w:t>
            </w:r>
            <w:r w:rsidDel="00000000" w:rsidR="00000000" w:rsidRPr="00000000">
              <w:rPr>
                <w:rtl w:val="0"/>
              </w:rPr>
            </w:r>
          </w:p>
        </w:tc>
        <w:tc>
          <w:tcPr>
            <w:shd w:fill="ffffff" w:val="clear"/>
            <w:vAlign w:val="center"/>
          </w:tcPr>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68.56 pp</w:t>
            </w:r>
            <w:r w:rsidDel="00000000" w:rsidR="00000000" w:rsidRPr="00000000">
              <w:rPr>
                <w:rtl w:val="0"/>
              </w:rPr>
            </w:r>
          </w:p>
        </w:tc>
        <w:tc>
          <w:tcPr>
            <w:shd w:fill="ffffff" w:val="clear"/>
            <w:vAlign w:val="center"/>
          </w:tcPr>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Main year</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2022</w:t>
            </w:r>
            <w:r w:rsidDel="00000000" w:rsidR="00000000" w:rsidRPr="00000000">
              <w:rPr>
                <w:rtl w:val="0"/>
              </w:rPr>
            </w:r>
          </w:p>
        </w:tc>
        <w:tc>
          <w:tcPr>
            <w:shd w:fill="ffffff" w:val="clear"/>
            <w:vAlign w:val="center"/>
          </w:tcPr>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w:t>
            </w:r>
            <w:r w:rsidDel="00000000" w:rsidR="00000000" w:rsidRPr="00000000">
              <w:rPr>
                <w:rtl w:val="0"/>
              </w:rPr>
            </w:r>
          </w:p>
        </w:tc>
        <w:tc>
          <w:tcPr>
            <w:shd w:fill="ffffff" w:val="clear"/>
            <w:vAlign w:val="center"/>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93.55%</w:t>
            </w:r>
            <w:r w:rsidDel="00000000" w:rsidR="00000000" w:rsidRPr="00000000">
              <w:rPr>
                <w:rtl w:val="0"/>
              </w:rPr>
            </w:r>
          </w:p>
        </w:tc>
        <w:tc>
          <w:tcPr>
            <w:shd w:fill="ffffff" w:val="clear"/>
            <w:vAlign w:val="center"/>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5.88%</w:t>
            </w:r>
            <w:r w:rsidDel="00000000" w:rsidR="00000000" w:rsidRPr="00000000">
              <w:rPr>
                <w:rtl w:val="0"/>
              </w:rPr>
            </w:r>
          </w:p>
        </w:tc>
        <w:tc>
          <w:tcPr>
            <w:shd w:fill="ffffff" w:val="clear"/>
            <w:vAlign w:val="center"/>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22.94%</w:t>
            </w:r>
            <w:r w:rsidDel="00000000" w:rsidR="00000000" w:rsidRPr="00000000">
              <w:rPr>
                <w:rtl w:val="0"/>
              </w:rPr>
            </w:r>
          </w:p>
        </w:tc>
        <w:tc>
          <w:tcPr>
            <w:shd w:fill="ffffff" w:val="clear"/>
            <w:vAlign w:val="center"/>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70.61 pp</w:t>
            </w:r>
            <w:r w:rsidDel="00000000" w:rsidR="00000000" w:rsidRPr="00000000">
              <w:rPr>
                <w:rtl w:val="0"/>
              </w:rPr>
            </w:r>
          </w:p>
        </w:tc>
        <w:tc>
          <w:tcPr>
            <w:shd w:fill="ffffff" w:val="clear"/>
            <w:vAlign w:val="center"/>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Main year</w:t>
            </w:r>
            <w:r w:rsidDel="00000000" w:rsidR="00000000" w:rsidRPr="00000000">
              <w:rPr>
                <w:rtl w:val="0"/>
              </w:rPr>
            </w:r>
          </w:p>
        </w:tc>
      </w:tr>
    </w:tbl>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CO₂-based conclusions and the Scenario A / B1a / B1b hierarchy are qualitatively stable between 2019 and 2022. Energy is not interpreted as an independent time-series robustness check because I-ENERGY is frozen after 2011.</w:t>
      </w:r>
    </w:p>
    <w:p w:rsidR="00000000" w:rsidDel="00000000" w:rsidP="00000000" w:rsidRDefault="00000000" w:rsidRPr="00000000" w14:paraId="000001FA">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S4e. Scenario A / B1a / B1b contrasts for Energy (2022 cross-sector diagnostic; sector-specific, descriptive midpoint, and United States). B1a values are slightly negative because the host sectors’ direct energy intensities in the extract are marginally higher than Taiwan’s; magnitudes are below 0.3% in all cases.</w:t>
      </w:r>
      <w:r w:rsidDel="00000000" w:rsidR="00000000" w:rsidRPr="00000000">
        <w:rPr>
          <w:rtl w:val="0"/>
        </w:rPr>
      </w:r>
    </w:p>
    <w:tbl>
      <w:tblPr>
        <w:tblStyle w:val="Table12"/>
        <w:tblW w:w="91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2900"/>
        <w:gridCol w:w="1450"/>
        <w:gridCol w:w="1200"/>
        <w:gridCol w:w="1200"/>
        <w:gridCol w:w="1200"/>
        <w:gridCol w:w="1200"/>
        <w:tblGridChange w:id="0">
          <w:tblGrid>
            <w:gridCol w:w="2900"/>
            <w:gridCol w:w="1450"/>
            <w:gridCol w:w="1200"/>
            <w:gridCol w:w="1200"/>
            <w:gridCol w:w="1200"/>
            <w:gridCol w:w="1200"/>
          </w:tblGrid>
        </w:tblGridChange>
      </w:tblGrid>
      <w:tr>
        <w:trPr>
          <w:cantSplit w:val="0"/>
          <w:tblHeader w:val="1"/>
        </w:trPr>
        <w:tc>
          <w:tcPr>
            <w:shd w:fill="ffffff" w:val="clear"/>
            <w:vAlign w:val="center"/>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Host sector</w:t>
            </w:r>
            <w:r w:rsidDel="00000000" w:rsidR="00000000" w:rsidRPr="00000000">
              <w:rPr>
                <w:rtl w:val="0"/>
              </w:rPr>
            </w:r>
          </w:p>
        </w:tc>
        <w:tc>
          <w:tcPr>
            <w:shd w:fill="ffffff" w:val="clear"/>
            <w:vAlign w:val="center"/>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Scenario A reduction</w:t>
            </w:r>
            <w:r w:rsidDel="00000000" w:rsidR="00000000" w:rsidRPr="00000000">
              <w:rPr>
                <w:rtl w:val="0"/>
              </w:rPr>
            </w:r>
          </w:p>
        </w:tc>
        <w:tc>
          <w:tcPr>
            <w:shd w:fill="ffffff" w:val="clear"/>
            <w:vAlign w:val="center"/>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B1a reduction</w:t>
            </w:r>
            <w:r w:rsidDel="00000000" w:rsidR="00000000" w:rsidRPr="00000000">
              <w:rPr>
                <w:rtl w:val="0"/>
              </w:rPr>
            </w:r>
          </w:p>
        </w:tc>
        <w:tc>
          <w:tcPr>
            <w:shd w:fill="ffffff" w:val="clear"/>
            <w:vAlign w:val="cente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B1b reduction</w:t>
            </w:r>
            <w:r w:rsidDel="00000000" w:rsidR="00000000" w:rsidRPr="00000000">
              <w:rPr>
                <w:rtl w:val="0"/>
              </w:rPr>
            </w:r>
          </w:p>
        </w:tc>
        <w:tc>
          <w:tcPr>
            <w:shd w:fill="ffffff" w:val="clear"/>
            <w:vAlign w:val="cente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788455026"/>
                <w:tag w:val="goog_rdk_6"/>
              </w:sdtPr>
              <w:sdtContent>
                <w:r w:rsidDel="00000000" w:rsidR="00000000" w:rsidRPr="00000000">
                  <w:rPr>
                    <w:rFonts w:ascii="Gungsuh" w:cs="Gungsuh" w:eastAsia="Gungsuh" w:hAnsi="Gungsuh"/>
                    <w:b w:val="1"/>
                    <w:bCs w:val="1"/>
                    <w:i w:val="0"/>
                    <w:iCs w:val="0"/>
                    <w:smallCaps w:val="0"/>
                    <w:strike w:val="0"/>
                    <w:color w:val="000000"/>
                    <w:sz w:val="20"/>
                    <w:szCs w:val="20"/>
                    <w:shd w:fill="auto" w:val="clear"/>
                    <w:vertAlign w:val="baseline"/>
                    <w:rtl w:val="0"/>
                  </w:rPr>
                  <w:t xml:space="preserve">B1b − B1a</w:t>
                </w:r>
              </w:sdtContent>
            </w:sdt>
            <w:r w:rsidDel="00000000" w:rsidR="00000000" w:rsidRPr="00000000">
              <w:rPr>
                <w:rtl w:val="0"/>
              </w:rPr>
            </w:r>
          </w:p>
        </w:tc>
        <w:tc>
          <w:tcPr>
            <w:shd w:fill="ffffff" w:val="clear"/>
            <w:vAlign w:val="cente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30386290"/>
                <w:tag w:val="goog_rdk_7"/>
              </w:sdtPr>
              <w:sdtContent>
                <w:r w:rsidDel="00000000" w:rsidR="00000000" w:rsidRPr="00000000">
                  <w:rPr>
                    <w:rFonts w:ascii="Gungsuh" w:cs="Gungsuh" w:eastAsia="Gungsuh" w:hAnsi="Gungsuh"/>
                    <w:b w:val="1"/>
                    <w:bCs w:val="1"/>
                    <w:i w:val="0"/>
                    <w:iCs w:val="0"/>
                    <w:smallCaps w:val="0"/>
                    <w:strike w:val="0"/>
                    <w:color w:val="000000"/>
                    <w:sz w:val="20"/>
                    <w:szCs w:val="20"/>
                    <w:shd w:fill="auto" w:val="clear"/>
                    <w:vertAlign w:val="baseline"/>
                    <w:rtl w:val="0"/>
                  </w:rPr>
                  <w:t xml:space="preserve">A − B1b</w:t>
                </w:r>
              </w:sdtContent>
            </w:sdt>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Semiconductor devices (6072)</w:t>
            </w:r>
            <w:r w:rsidDel="00000000" w:rsidR="00000000" w:rsidRPr="00000000">
              <w:rPr>
                <w:rtl w:val="0"/>
              </w:rPr>
            </w:r>
          </w:p>
        </w:tc>
        <w:tc>
          <w:tcPr>
            <w:shd w:fill="ffffff" w:val="clear"/>
            <w:vAlign w:val="center"/>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96.68%</w:t>
            </w:r>
            <w:r w:rsidDel="00000000" w:rsidR="00000000" w:rsidRPr="00000000">
              <w:rPr>
                <w:rtl w:val="0"/>
              </w:rPr>
            </w:r>
          </w:p>
        </w:tc>
        <w:tc>
          <w:tcPr>
            <w:shd w:fill="ffffff" w:val="clear"/>
            <w:vAlign w:val="cente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811156248"/>
                <w:tag w:val="goog_rdk_8"/>
              </w:sdtPr>
              <w:sdtContent>
                <w:r w:rsidDel="00000000" w:rsidR="00000000" w:rsidRPr="00000000">
                  <w:rPr>
                    <w:rFonts w:ascii="Gungsuh" w:cs="Gungsuh" w:eastAsia="Gungsuh" w:hAnsi="Gungsuh"/>
                    <w:b w:val="0"/>
                    <w:bCs w:val="0"/>
                    <w:i w:val="0"/>
                    <w:iCs w:val="0"/>
                    <w:smallCaps w:val="0"/>
                    <w:strike w:val="0"/>
                    <w:color w:val="000000"/>
                    <w:sz w:val="20"/>
                    <w:szCs w:val="20"/>
                    <w:u w:val="none"/>
                    <w:shd w:fill="auto" w:val="clear"/>
                    <w:vertAlign w:val="baseline"/>
                    <w:rtl w:val="0"/>
                  </w:rPr>
                  <w:t xml:space="preserve">−0.13%</w:t>
                </w:r>
              </w:sdtContent>
            </w:sdt>
            <w:r w:rsidDel="00000000" w:rsidR="00000000" w:rsidRPr="00000000">
              <w:rPr>
                <w:rtl w:val="0"/>
              </w:rPr>
            </w:r>
          </w:p>
        </w:tc>
        <w:tc>
          <w:tcPr>
            <w:shd w:fill="ffffff" w:val="clear"/>
            <w:vAlign w:val="center"/>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20.55%</w:t>
            </w:r>
            <w:r w:rsidDel="00000000" w:rsidR="00000000" w:rsidRPr="00000000">
              <w:rPr>
                <w:rtl w:val="0"/>
              </w:rPr>
            </w:r>
          </w:p>
        </w:tc>
        <w:tc>
          <w:tcPr>
            <w:shd w:fill="ffffff" w:val="clear"/>
            <w:vAlign w:val="center"/>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20.68 pp</w:t>
            </w:r>
            <w:r w:rsidDel="00000000" w:rsidR="00000000" w:rsidRPr="00000000">
              <w:rPr>
                <w:rtl w:val="0"/>
              </w:rPr>
            </w:r>
          </w:p>
        </w:tc>
        <w:tc>
          <w:tcPr>
            <w:shd w:fill="ffffff" w:val="clear"/>
            <w:vAlign w:val="cente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76.12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Integrated circuits (6073)</w:t>
            </w:r>
            <w:r w:rsidDel="00000000" w:rsidR="00000000" w:rsidRPr="00000000">
              <w:rPr>
                <w:rtl w:val="0"/>
              </w:rPr>
            </w:r>
          </w:p>
        </w:tc>
        <w:tc>
          <w:tcPr>
            <w:shd w:fill="ffffff" w:val="clear"/>
            <w:vAlign w:val="center"/>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96.17%</w:t>
            </w:r>
            <w:r w:rsidDel="00000000" w:rsidR="00000000" w:rsidRPr="00000000">
              <w:rPr>
                <w:rtl w:val="0"/>
              </w:rPr>
            </w:r>
          </w:p>
        </w:tc>
        <w:tc>
          <w:tcPr>
            <w:shd w:fill="ffffff" w:val="clear"/>
            <w:vAlign w:val="center"/>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215291112"/>
                <w:tag w:val="goog_rdk_9"/>
              </w:sdtPr>
              <w:sdtContent>
                <w:r w:rsidDel="00000000" w:rsidR="00000000" w:rsidRPr="00000000">
                  <w:rPr>
                    <w:rFonts w:ascii="Gungsuh" w:cs="Gungsuh" w:eastAsia="Gungsuh" w:hAnsi="Gungsuh"/>
                    <w:b w:val="0"/>
                    <w:bCs w:val="0"/>
                    <w:i w:val="0"/>
                    <w:iCs w:val="0"/>
                    <w:smallCaps w:val="0"/>
                    <w:strike w:val="0"/>
                    <w:color w:val="000000"/>
                    <w:sz w:val="20"/>
                    <w:szCs w:val="20"/>
                    <w:u w:val="none"/>
                    <w:shd w:fill="auto" w:val="clear"/>
                    <w:vertAlign w:val="baseline"/>
                    <w:rtl w:val="0"/>
                  </w:rPr>
                  <w:t xml:space="preserve">−0.19%</w:t>
                </w:r>
              </w:sdtContent>
            </w:sdt>
            <w:r w:rsidDel="00000000" w:rsidR="00000000" w:rsidRPr="00000000">
              <w:rPr>
                <w:rtl w:val="0"/>
              </w:rPr>
            </w:r>
          </w:p>
        </w:tc>
        <w:tc>
          <w:tcPr>
            <w:shd w:fill="ffffff" w:val="clear"/>
            <w:vAlign w:val="cente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20.50%</w:t>
            </w:r>
            <w:r w:rsidDel="00000000" w:rsidR="00000000" w:rsidRPr="00000000">
              <w:rPr>
                <w:rtl w:val="0"/>
              </w:rPr>
            </w:r>
          </w:p>
        </w:tc>
        <w:tc>
          <w:tcPr>
            <w:shd w:fill="ffffff" w:val="clear"/>
            <w:vAlign w:val="cente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20.68 pp</w:t>
            </w:r>
            <w:r w:rsidDel="00000000" w:rsidR="00000000" w:rsidRPr="00000000">
              <w:rPr>
                <w:rtl w:val="0"/>
              </w:rPr>
            </w:r>
          </w:p>
        </w:tc>
        <w:tc>
          <w:tcPr>
            <w:shd w:fill="ffffff" w:val="clear"/>
            <w:vAlign w:val="cente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75.67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Japan-average (descriptive midpoint)</w:t>
            </w:r>
            <w:r w:rsidDel="00000000" w:rsidR="00000000" w:rsidRPr="00000000">
              <w:rPr>
                <w:rtl w:val="0"/>
              </w:rPr>
            </w:r>
          </w:p>
        </w:tc>
        <w:tc>
          <w:tcPr>
            <w:shd w:fill="ffffff" w:val="clear"/>
            <w:vAlign w:val="center"/>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96.42%</w:t>
            </w:r>
            <w:r w:rsidDel="00000000" w:rsidR="00000000" w:rsidRPr="00000000">
              <w:rPr>
                <w:rtl w:val="0"/>
              </w:rPr>
            </w:r>
          </w:p>
        </w:tc>
        <w:tc>
          <w:tcPr>
            <w:shd w:fill="ffffff" w:val="clear"/>
            <w:vAlign w:val="cente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735972246"/>
                <w:tag w:val="goog_rdk_10"/>
              </w:sdtPr>
              <w:sdtContent>
                <w:r w:rsidDel="00000000" w:rsidR="00000000" w:rsidRPr="00000000">
                  <w:rPr>
                    <w:rFonts w:ascii="Gungsuh" w:cs="Gungsuh" w:eastAsia="Gungsuh" w:hAnsi="Gungsuh"/>
                    <w:b w:val="0"/>
                    <w:bCs w:val="0"/>
                    <w:i w:val="0"/>
                    <w:iCs w:val="0"/>
                    <w:smallCaps w:val="0"/>
                    <w:strike w:val="0"/>
                    <w:color w:val="000000"/>
                    <w:sz w:val="20"/>
                    <w:szCs w:val="20"/>
                    <w:u w:val="none"/>
                    <w:shd w:fill="auto" w:val="clear"/>
                    <w:vertAlign w:val="baseline"/>
                    <w:rtl w:val="0"/>
                  </w:rPr>
                  <w:t xml:space="preserve">−0.16%</w:t>
                </w:r>
              </w:sdtContent>
            </w:sdt>
            <w:r w:rsidDel="00000000" w:rsidR="00000000" w:rsidRPr="00000000">
              <w:rPr>
                <w:rtl w:val="0"/>
              </w:rPr>
            </w:r>
          </w:p>
        </w:tc>
        <w:tc>
          <w:tcPr>
            <w:shd w:fill="ffffff" w:val="clear"/>
            <w:vAlign w:val="cente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20.52%</w:t>
            </w:r>
            <w:r w:rsidDel="00000000" w:rsidR="00000000" w:rsidRPr="00000000">
              <w:rPr>
                <w:rtl w:val="0"/>
              </w:rPr>
            </w:r>
          </w:p>
        </w:tc>
        <w:tc>
          <w:tcPr>
            <w:shd w:fill="ffffff" w:val="clear"/>
            <w:vAlign w:val="center"/>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20.68 pp</w:t>
            </w:r>
            <w:r w:rsidDel="00000000" w:rsidR="00000000" w:rsidRPr="00000000">
              <w:rPr>
                <w:rtl w:val="0"/>
              </w:rPr>
            </w:r>
          </w:p>
        </w:tc>
        <w:tc>
          <w:tcPr>
            <w:shd w:fill="ffffff" w:val="clear"/>
            <w:vAlign w:val="cente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75.90 pp</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United States (13452)</w:t>
            </w:r>
            <w:r w:rsidDel="00000000" w:rsidR="00000000" w:rsidRPr="00000000">
              <w:rPr>
                <w:rtl w:val="0"/>
              </w:rPr>
            </w:r>
          </w:p>
        </w:tc>
        <w:tc>
          <w:tcPr>
            <w:shd w:fill="ffffff" w:val="clear"/>
            <w:vAlign w:val="cente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97.39%</w:t>
            </w:r>
            <w:r w:rsidDel="00000000" w:rsidR="00000000" w:rsidRPr="00000000">
              <w:rPr>
                <w:rtl w:val="0"/>
              </w:rPr>
            </w:r>
          </w:p>
        </w:tc>
        <w:tc>
          <w:tcPr>
            <w:shd w:fill="ffffff" w:val="clear"/>
            <w:vAlign w:val="center"/>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324207323"/>
                <w:tag w:val="goog_rdk_11"/>
              </w:sdtPr>
              <w:sdtContent>
                <w:r w:rsidDel="00000000" w:rsidR="00000000" w:rsidRPr="00000000">
                  <w:rPr>
                    <w:rFonts w:ascii="Gungsuh" w:cs="Gungsuh" w:eastAsia="Gungsuh" w:hAnsi="Gungsuh"/>
                    <w:b w:val="0"/>
                    <w:bCs w:val="0"/>
                    <w:i w:val="0"/>
                    <w:iCs w:val="0"/>
                    <w:smallCaps w:val="0"/>
                    <w:strike w:val="0"/>
                    <w:color w:val="000000"/>
                    <w:sz w:val="20"/>
                    <w:szCs w:val="20"/>
                    <w:u w:val="none"/>
                    <w:shd w:fill="auto" w:val="clear"/>
                    <w:vertAlign w:val="baseline"/>
                    <w:rtl w:val="0"/>
                  </w:rPr>
                  <w:t xml:space="preserve">−0.26%</w:t>
                </w:r>
              </w:sdtContent>
            </w:sdt>
            <w:r w:rsidDel="00000000" w:rsidR="00000000" w:rsidRPr="00000000">
              <w:rPr>
                <w:rtl w:val="0"/>
              </w:rPr>
            </w:r>
          </w:p>
        </w:tc>
        <w:tc>
          <w:tcPr>
            <w:shd w:fill="ffffff" w:val="clear"/>
            <w:vAlign w:val="center"/>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20.09%</w:t>
            </w:r>
            <w:r w:rsidDel="00000000" w:rsidR="00000000" w:rsidRPr="00000000">
              <w:rPr>
                <w:rtl w:val="0"/>
              </w:rPr>
            </w:r>
          </w:p>
        </w:tc>
        <w:tc>
          <w:tcPr>
            <w:shd w:fill="ffffff" w:val="clear"/>
            <w:vAlign w:val="center"/>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20.35 pp</w:t>
            </w:r>
            <w:r w:rsidDel="00000000" w:rsidR="00000000" w:rsidRPr="00000000">
              <w:rPr>
                <w:rtl w:val="0"/>
              </w:rPr>
            </w:r>
          </w:p>
        </w:tc>
        <w:tc>
          <w:tcPr>
            <w:shd w:fill="ffffff" w:val="clear"/>
            <w:vAlign w:val="center"/>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77.29 pp</w:t>
            </w:r>
            <w:r w:rsidDel="00000000" w:rsidR="00000000" w:rsidRPr="00000000">
              <w:rPr>
                <w:rtl w:val="0"/>
              </w:rPr>
            </w:r>
          </w:p>
        </w:tc>
      </w:tr>
    </w:tbl>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075928503"/>
          <w:tag w:val="goog_rdk_12"/>
        </w:sdtPr>
        <w:sdtContent>
          <w:r w:rsidDel="00000000" w:rsidR="00000000" w:rsidRPr="00000000">
            <w:rPr>
              <w:rFonts w:ascii="Gungsuh" w:cs="Gungsuh" w:eastAsia="Gungsuh" w:hAnsi="Gungsuh"/>
              <w:b w:val="1"/>
              <w:bCs w:val="1"/>
              <w:i w:val="0"/>
              <w:iCs w:val="0"/>
              <w:smallCaps w:val="0"/>
              <w:strike w:val="0"/>
              <w:color w:val="000000"/>
              <w:sz w:val="24"/>
              <w:szCs w:val="24"/>
              <w:u w:val="none"/>
              <w:shd w:fill="auto" w:val="clear"/>
              <w:vertAlign w:val="baseline"/>
              <w:rtl w:val="0"/>
            </w:rPr>
            <w:t xml:space="preserve">Notes. Energy values are 2022 cross-sector diagnostics under the post-2011 fixed-vintage I-ENERGY satellite, not evidence of time-series change. B1b − B1a and A − B1b are computed from the unrounded values.</w:t>
          </w:r>
        </w:sdtContent>
      </w:sdt>
      <w:r w:rsidDel="00000000" w:rsidR="00000000" w:rsidRPr="00000000">
        <w:rPr>
          <w:rtl w:val="0"/>
        </w:rPr>
      </w:r>
    </w:p>
    <w:p w:rsidR="00000000" w:rsidDel="00000000" w:rsidP="00000000" w:rsidRDefault="00000000" w:rsidRPr="00000000" w14:paraId="0000021A">
      <w:pPr>
        <w:pStyle w:val="Heading3"/>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Table S4f. B1b routing audit for the Japan reassignment. The audit confirms that the B1b step moves only the direct electricity-input coefficient from the Taiwan electricity row (11359) to the host electricity row (Japan 6132) within the Taiwan Semiconductors column (11348), leaving the column sum unchanged to machine precision. The pre-existing destination coefficient is negligible.</w:t>
      </w:r>
      <w:r w:rsidDel="00000000" w:rsidR="00000000" w:rsidRPr="00000000">
        <w:rPr>
          <w:rtl w:val="0"/>
        </w:rPr>
      </w:r>
    </w:p>
    <w:tbl>
      <w:tblPr>
        <w:tblStyle w:val="Table13"/>
        <w:tblW w:w="91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5650"/>
        <w:gridCol w:w="3500"/>
        <w:tblGridChange w:id="0">
          <w:tblGrid>
            <w:gridCol w:w="5650"/>
            <w:gridCol w:w="3500"/>
          </w:tblGrid>
        </w:tblGridChange>
      </w:tblGrid>
      <w:tr>
        <w:trPr>
          <w:cantSplit w:val="0"/>
          <w:tblHeader w:val="1"/>
        </w:trPr>
        <w:tc>
          <w:tcPr>
            <w:shd w:fill="ffffff" w:val="clear"/>
            <w:vAlign w:val="center"/>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Quantity</w:t>
            </w:r>
            <w:r w:rsidDel="00000000" w:rsidR="00000000" w:rsidRPr="00000000">
              <w:rPr>
                <w:rtl w:val="0"/>
              </w:rPr>
            </w:r>
          </w:p>
        </w:tc>
        <w:tc>
          <w:tcPr>
            <w:shd w:fill="ffffff" w:val="clear"/>
            <w:vAlign w:val="center"/>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Value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946345180"/>
                <w:tag w:val="goog_rdk_13"/>
              </w:sdtPr>
              <w:sdtContent>
                <w:r w:rsidDel="00000000" w:rsidR="00000000" w:rsidRPr="00000000">
                  <w:rPr>
                    <w:rFonts w:ascii="Cardo" w:cs="Cardo" w:eastAsia="Cardo" w:hAnsi="Cardo"/>
                    <w:b w:val="0"/>
                    <w:bCs w:val="0"/>
                    <w:i w:val="0"/>
                    <w:iCs w:val="0"/>
                    <w:smallCaps w:val="0"/>
                    <w:strike w:val="0"/>
                    <w:color w:val="000000"/>
                    <w:sz w:val="20"/>
                    <w:szCs w:val="20"/>
                    <w:u w:val="none"/>
                    <w:shd w:fill="auto" w:val="clear"/>
                    <w:vertAlign w:val="baseline"/>
                    <w:rtl w:val="0"/>
                  </w:rPr>
                  <w:t xml:space="preserve">Moved direct coefficient (11359 → 6132 routing, column 11348)</w:t>
                </w:r>
              </w:sdtContent>
            </w:sdt>
            <w:r w:rsidDel="00000000" w:rsidR="00000000" w:rsidRPr="00000000">
              <w:rPr>
                <w:rtl w:val="0"/>
              </w:rPr>
            </w:r>
          </w:p>
        </w:tc>
        <w:tc>
          <w:tcPr>
            <w:shd w:fill="ffffff" w:val="clear"/>
            <w:vAlign w:val="center"/>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0.021879</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Source cell before / after</w:t>
            </w:r>
            <w:r w:rsidDel="00000000" w:rsidR="00000000" w:rsidRPr="00000000">
              <w:rPr>
                <w:rtl w:val="0"/>
              </w:rPr>
            </w:r>
          </w:p>
        </w:tc>
        <w:tc>
          <w:tcPr>
            <w:shd w:fill="ffffff" w:val="clea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0.021879 / 0</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Destination cell before / after</w:t>
            </w:r>
            <w:r w:rsidDel="00000000" w:rsidR="00000000" w:rsidRPr="00000000">
              <w:rPr>
                <w:rtl w:val="0"/>
              </w:rPr>
            </w:r>
          </w:p>
        </w:tc>
        <w:tc>
          <w:tcPr>
            <w:shd w:fill="ffffff" w:val="clear"/>
            <w:vAlign w:val="center"/>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7.5 × 10⁻¹⁰ / 0.021879</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Column-sum change after reassignment</w:t>
            </w:r>
            <w:r w:rsidDel="00000000" w:rsidR="00000000" w:rsidRPr="00000000">
              <w:rPr>
                <w:rtl w:val="0"/>
              </w:rPr>
            </w:r>
          </w:p>
        </w:tc>
        <w:tc>
          <w:tcPr>
            <w:shd w:fill="ffffff" w:val="clear"/>
            <w:vAlign w:val="cente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542855385"/>
                <w:tag w:val="goog_rdk_14"/>
              </w:sdtPr>
              <w:sdtContent>
                <w:r w:rsidDel="00000000" w:rsidR="00000000" w:rsidRPr="00000000">
                  <w:rPr>
                    <w:rFonts w:ascii="Gungsuh" w:cs="Gungsuh" w:eastAsia="Gungsuh" w:hAnsi="Gungsuh"/>
                    <w:b w:val="0"/>
                    <w:bCs w:val="0"/>
                    <w:i w:val="0"/>
                    <w:iCs w:val="0"/>
                    <w:smallCaps w:val="0"/>
                    <w:strike w:val="0"/>
                    <w:color w:val="000000"/>
                    <w:sz w:val="20"/>
                    <w:szCs w:val="20"/>
                    <w:u w:val="none"/>
                    <w:shd w:fill="auto" w:val="clear"/>
                    <w:vertAlign w:val="baseline"/>
                    <w:rtl w:val="0"/>
                  </w:rPr>
                  <w:t xml:space="preserve">−1.1 × 10⁻¹⁶ (machine precision)</w:t>
                </w:r>
              </w:sdtContent>
            </w:sdt>
            <w:r w:rsidDel="00000000" w:rsidR="00000000" w:rsidRPr="00000000">
              <w:rPr>
                <w:rtl w:val="0"/>
              </w:rPr>
            </w:r>
          </w:p>
        </w:tc>
      </w:tr>
    </w:tbl>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 This routing edit is common to the B1b calculations for both Japanese host sectors; the sector-specific difference enters through the substituted target-sector direct intensity, not through a different electricity destination row. Values are reported in the Data S4 sheet of Online Resource 2.</w:t>
      </w:r>
      <w:r w:rsidDel="00000000" w:rsidR="00000000" w:rsidRPr="00000000">
        <w:rPr>
          <w:rtl w:val="0"/>
        </w:rPr>
      </w:r>
    </w:p>
    <w:bookmarkStart w:colFirst="0" w:colLast="0" w:name="bookmark=id.qlins9y5bd53" w:id="19"/>
    <w:bookmarkEnd w:id="19"/>
    <w:p w:rsidR="00000000" w:rsidDel="00000000" w:rsidP="00000000" w:rsidRDefault="00000000" w:rsidRPr="00000000" w14:paraId="00000226">
      <w:pPr>
        <w:pStyle w:val="Heading2"/>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Supplementary Figures</w:t>
      </w: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6480500" cy="50673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480500" cy="5067300"/>
                    </a:xfrm>
                    <a:prstGeom prst="rect"/>
                    <a:ln/>
                  </pic:spPr>
                </pic:pic>
              </a:graphicData>
            </a:graphic>
          </wp:inline>
        </w:drawing>
      </w: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Figure S1.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Grouped bars showing EDGAR CO₂ reductions for the host-country-structure scenario (A) and the Taiwan-structure-transfer scenarios (B1a and B1b) for the Japan-average and US hosts, visualizing the A &gt; B1b &gt; B1a hierarchy reported in Table S4a. The gaps are scenario-based contrasts, not causal or Shapley-type decompositions.</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6480500" cy="374650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480500" cy="3746500"/>
                    </a:xfrm>
                    <a:prstGeom prst="rect"/>
                    <a:ln/>
                  </pic:spPr>
                </pic:pic>
              </a:graphicData>
            </a:graphic>
          </wp:inline>
        </w:drawing>
      </w: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Figure S2.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Upstream decomposition of Eora-based embodied energy multipliers for Taiwan, Japan, and US semiconductor-related sectors. Panel a reports absolute contribution levels, and Panel b reports shares of each target’s multiplier. The energy decomposition is reported as a 2022 cross-sector diagnostic because the Eora I-ENERGY satellite is frozen after 2011. Contribution groups are MRIO sectoral categories, not process-level fab engineering categories.</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6480500" cy="4762500"/>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4805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Figure S3.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Scenario A EDGAR CO₂ reductions for the Japan-average and US hosts as the host electricity sector’s CO₂ intensity is reduced by 0%, 50%, 75%, and 100% (RS-CLEAN). The marginal effect of additional host-electricity decarbonization is limited relative to the Scenario A host-structure contrast, and is especially small for the United States.</w:t>
      </w:r>
    </w:p>
    <w:p w:rsidR="00000000" w:rsidDel="00000000" w:rsidP="00000000" w:rsidRDefault="00000000" w:rsidRPr="00000000" w14:paraId="0000022D">
      <w:pPr>
        <w:pStyle w:val="Heading2"/>
        <w:spacing w:after="120" w:before="240" w:lineRule="auto"/>
        <w:jc w:val="both"/>
        <w:rPr/>
      </w:pPr>
      <w:r w:rsidDel="00000000" w:rsidR="00000000" w:rsidRPr="00000000">
        <w:rPr>
          <w:rFonts w:ascii="Times New Roman" w:cs="Times New Roman" w:eastAsia="Times New Roman" w:hAnsi="Times New Roman"/>
          <w:b w:val="1"/>
          <w:bCs w:val="1"/>
          <w:color w:val="000000"/>
          <w:rtl w:val="0"/>
        </w:rPr>
        <w:t xml:space="preserve">Supplementary data files</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following sheets are provided in Online Resource 2 (ESM_2.xlsx). The underlying Eora Full MRIO database is available under license from WorldMRIO and cannot be redistributed by the authors; this workbook contains derived tables sufficient to verify the reported multipliers, scenario contrasts, upstream decompositions, and sensitivity diagnostics.</w:t>
      </w:r>
    </w:p>
    <w:tbl>
      <w:tblPr>
        <w:tblStyle w:val="Table14"/>
        <w:tblW w:w="98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20"/>
      </w:tblPr>
      <w:tblGrid>
        <w:gridCol w:w="4470"/>
        <w:gridCol w:w="5385"/>
        <w:tblGridChange w:id="0">
          <w:tblGrid>
            <w:gridCol w:w="4470"/>
            <w:gridCol w:w="5385"/>
          </w:tblGrid>
        </w:tblGridChange>
      </w:tblGrid>
      <w:tr>
        <w:trPr>
          <w:cantSplit w:val="0"/>
          <w:tblHeader w:val="1"/>
        </w:trPr>
        <w:tc>
          <w:tcPr>
            <w:shd w:fill="ffffff" w:val="clear"/>
            <w:vAlign w:val="center"/>
          </w:tcPr>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Sheet in Online Resource 2 (ESM_2.xlsx)</w:t>
            </w:r>
            <w:r w:rsidDel="00000000" w:rsidR="00000000" w:rsidRPr="00000000">
              <w:rPr>
                <w:rtl w:val="0"/>
              </w:rPr>
            </w:r>
          </w:p>
        </w:tc>
        <w:tc>
          <w:tcPr>
            <w:shd w:fill="ffffff" w:val="clear"/>
            <w:vAlign w:val="center"/>
          </w:tcPr>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shd w:fill="auto" w:val="clear"/>
                <w:vertAlign w:val="baseline"/>
                <w:rtl w:val="0"/>
              </w:rPr>
              <w:t xml:space="preserve">Purpose</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S1 (host_sector_multipliers)</w:t>
            </w:r>
            <w:r w:rsidDel="00000000" w:rsidR="00000000" w:rsidRPr="00000000">
              <w:rPr>
                <w:rtl w:val="0"/>
              </w:rPr>
            </w:r>
          </w:p>
        </w:tc>
        <w:tc>
          <w:tcPr>
            <w:shd w:fill="ffffff" w:val="clear"/>
            <w:vAlign w:val="center"/>
          </w:tcPr>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Multipliers and Scenario A reductions for Taiwan, Japan 6072, Japan 6073, the Japan average, and the United States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S2 (upstream_category_assignment)</w:t>
            </w:r>
            <w:r w:rsidDel="00000000" w:rsidR="00000000" w:rsidRPr="00000000">
              <w:rPr>
                <w:rtl w:val="0"/>
              </w:rPr>
            </w:r>
          </w:p>
        </w:tc>
        <w:tc>
          <w:tcPr>
            <w:shd w:fill="ffffff" w:val="clear"/>
            <w:vAlign w:val="center"/>
          </w:tcPr>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Sector-level upstream category assignments for the top 200 contributors per target and indicator (a disclosure extract whose coverage varies by target and indicator; category definitions are in Table S2)</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S3 (upstream_decomposition_audit)</w:t>
            </w:r>
            <w:r w:rsidDel="00000000" w:rsidR="00000000" w:rsidRPr="00000000">
              <w:rPr>
                <w:rtl w:val="0"/>
              </w:rPr>
            </w:r>
          </w:p>
        </w:tc>
        <w:tc>
          <w:tcPr>
            <w:shd w:fill="ffffff" w:val="clear"/>
            <w:vAlign w:val="center"/>
          </w:tcPr>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Reconciliation, grouped decomposition, pseudo/residual diagnostics, negative-contribution diagnostics</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S4 (sensitivity_diagnostics)</w:t>
            </w:r>
            <w:r w:rsidDel="00000000" w:rsidR="00000000" w:rsidRPr="00000000">
              <w:rPr>
                <w:rtl w:val="0"/>
              </w:rPr>
            </w:r>
          </w:p>
        </w:tc>
        <w:tc>
          <w:tcPr>
            <w:shd w:fill="ffffff" w:val="clear"/>
            <w:vAlign w:val="center"/>
          </w:tcPr>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Scenario A/B1a/B1b contrasts (CO₂ and Energy), RS-CLEAN sensitivity, US electricity and semiconductor entity diagnostics, the 2019 cross-section, and the Japan B1b routing audit</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S5 (japan_sector_scenarios)</w:t>
            </w:r>
            <w:r w:rsidDel="00000000" w:rsidR="00000000" w:rsidRPr="00000000">
              <w:rPr>
                <w:rtl w:val="0"/>
              </w:rPr>
            </w:r>
          </w:p>
        </w:tc>
        <w:tc>
          <w:tcPr>
            <w:shd w:fill="ffffff" w:val="clear"/>
            <w:vAlign w:val="center"/>
          </w:tcPr>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457290686"/>
                <w:tag w:val="goog_rdk_15"/>
              </w:sdtPr>
              <w:sdtContent>
                <w:r w:rsidDel="00000000" w:rsidR="00000000" w:rsidRPr="00000000">
                  <w:rPr>
                    <w:rFonts w:ascii="Caudex" w:cs="Caudex" w:eastAsia="Caudex" w:hAnsi="Caudex"/>
                    <w:b w:val="0"/>
                    <w:bCs w:val="0"/>
                    <w:i w:val="0"/>
                    <w:iCs w:val="0"/>
                    <w:smallCaps w:val="0"/>
                    <w:strike w:val="0"/>
                    <w:color w:val="000000"/>
                    <w:sz w:val="20"/>
                    <w:szCs w:val="20"/>
                    <w:u w:val="none"/>
                    <w:shd w:fill="auto" w:val="clear"/>
                    <w:vertAlign w:val="baseline"/>
                    <w:rtl w:val="0"/>
                  </w:rPr>
                  <w:t xml:space="preserve">Sector-specific Scenario A/B1a/B1b results for Japan 6072 and 6073 (CO₂ and Energy), including B1a step, electricity increment, and A−B1b gap in percentage points; source data for Table 3 (main text) and Tables S4a/S4e.</w:t>
                </w:r>
              </w:sdtContent>
            </w:sdt>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Data S6 (midpoint_reconciliation)</w:t>
            </w:r>
            <w:r w:rsidDel="00000000" w:rsidR="00000000" w:rsidRPr="00000000">
              <w:rPr>
                <w:rtl w:val="0"/>
              </w:rPr>
            </w:r>
          </w:p>
        </w:tc>
        <w:tc>
          <w:tcPr>
            <w:shd w:fill="ffffff" w:val="clear"/>
            <w:vAlign w:val="center"/>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Reconciliation of the reported Japan-average multipliers against the reconstructed arithmetic mean of the unrounded sector-specific multipliers, with absolute and relative differences.</w:t>
            </w:r>
            <w:r w:rsidDel="00000000" w:rsidR="00000000" w:rsidRPr="00000000">
              <w:rPr>
                <w:rtl w:val="0"/>
              </w:rPr>
            </w:r>
          </w:p>
        </w:tc>
      </w:tr>
    </w:tbl>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Notes on the deposited data files.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Supplementary Data S2 is a top-200 contributor disclosure extract for each target × indicator combination; its coverage varies by target and indicator (for Taiwan × EDGAR it covers about 87% of absolute contributions, and for some host × indicator combinations it is lower), so it should not be read as the full sector universe. Full grouped shares, reconciliation, and pseudo/residual diagnostics are reported in Supplementary Data S3 and Table S3b; category definitions are provided in Table S2. In Supplementary Data S3, grouped contributions are reported both as all totals and as per-country-group breakdowns; the all rows reproduce the Table S3b shares and should not be summed with the country-group rows. Columns containing the legacy term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routing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example, min_x_new_after_routing) are retained for schema compatibility; in the main manuscript and this Supplementary Information, these refer to direct electricity-input reassignment or electricity-entity assignment. Per-column descriptions are provided in the deposited file headers.</w:t>
      </w:r>
    </w:p>
    <w:sectPr>
      <w:footerReference r:id="rId10" w:type="default"/>
      <w:pgSz w:h="16838" w:w="11906" w:orient="portrait"/>
      <w:pgMar w:bottom="1134" w:top="1134" w:left="850" w:right="850" w:header="360" w:footer="36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ungsuh"/>
  <w:font w:name="Caude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Cambria Mat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Times New Roman" w:cs="Times New Roman" w:eastAsia="Times New Roman" w:hAnsi="Times New Roman"/>
      <w:b w:val="1"/>
      <w:bCs w:val="1"/>
      <w:color w:val="000000"/>
      <w:sz w:val="28"/>
      <w:szCs w:val="28"/>
    </w:rPr>
  </w:style>
  <w:style w:type="paragraph" w:styleId="Heading2">
    <w:name w:val="heading 2"/>
    <w:basedOn w:val="Normal"/>
    <w:next w:val="Normal"/>
    <w:pPr>
      <w:keepNext w:val="1"/>
      <w:keepLines w:val="1"/>
      <w:spacing w:after="0" w:before="200" w:lineRule="auto"/>
    </w:pPr>
    <w:rPr>
      <w:rFonts w:ascii="Times New Roman" w:cs="Times New Roman" w:eastAsia="Times New Roman" w:hAnsi="Times New Roman"/>
      <w:b w:val="1"/>
      <w:bCs w:val="1"/>
      <w:color w:val="000000"/>
      <w:sz w:val="24"/>
      <w:szCs w:val="24"/>
    </w:rPr>
  </w:style>
  <w:style w:type="paragraph" w:styleId="Heading3">
    <w:name w:val="heading 3"/>
    <w:basedOn w:val="Normal"/>
    <w:next w:val="Normal"/>
    <w:pPr>
      <w:keepNext w:val="1"/>
      <w:keepLines w:val="1"/>
      <w:spacing w:after="0" w:before="200" w:lineRule="auto"/>
    </w:pPr>
    <w:rPr>
      <w:rFonts w:ascii="Times New Roman" w:cs="Times New Roman" w:eastAsia="Times New Roman" w:hAnsi="Times New Roman"/>
      <w:b w:val="1"/>
      <w:bCs w:val="1"/>
      <w:color w:val="000000"/>
      <w:sz w:val="24"/>
      <w:szCs w:val="24"/>
    </w:rPr>
  </w:style>
  <w:style w:type="paragraph" w:styleId="Heading4">
    <w:name w:val="heading 4"/>
    <w:basedOn w:val="Normal"/>
    <w:next w:val="Normal"/>
    <w:pPr>
      <w:keepNext w:val="1"/>
      <w:keepLines w:val="1"/>
      <w:spacing w:after="0" w:before="200" w:lineRule="auto"/>
    </w:pPr>
    <w:rPr>
      <w:rFonts w:ascii="Times New Roman" w:cs="Times New Roman" w:eastAsia="Times New Roman" w:hAnsi="Times New Roman"/>
      <w:b w:val="1"/>
      <w:bCs w:val="1"/>
      <w:i w:val="1"/>
      <w:iCs w:val="1"/>
      <w:color w:val="000000"/>
      <w:sz w:val="24"/>
      <w:szCs w:val="24"/>
    </w:rPr>
  </w:style>
  <w:style w:type="paragraph" w:styleId="Heading5">
    <w:name w:val="heading 5"/>
    <w:basedOn w:val="Normal"/>
    <w:next w:val="Normal"/>
    <w:pPr>
      <w:keepNext w:val="1"/>
      <w:keepLines w:val="1"/>
      <w:spacing w:after="0" w:before="200" w:lineRule="auto"/>
    </w:pPr>
    <w:rPr>
      <w:rFonts w:ascii="Times New Roman" w:cs="Times New Roman" w:eastAsia="Times New Roman" w:hAnsi="Times New Roman"/>
      <w:b w:val="1"/>
      <w:bCs w:val="1"/>
      <w:color w:val="000000"/>
      <w:sz w:val="24"/>
      <w:szCs w:val="24"/>
    </w:rPr>
  </w:style>
  <w:style w:type="paragraph" w:styleId="Heading6">
    <w:name w:val="heading 6"/>
    <w:basedOn w:val="Normal"/>
    <w:next w:val="Normal"/>
    <w:pPr>
      <w:keepNext w:val="1"/>
      <w:keepLines w:val="1"/>
      <w:spacing w:after="0" w:before="200" w:lineRule="auto"/>
    </w:pPr>
    <w:rPr>
      <w:rFonts w:ascii="Times New Roman" w:cs="Times New Roman" w:eastAsia="Times New Roman" w:hAnsi="Times New Roman"/>
      <w:b w:val="1"/>
      <w:bCs w:val="1"/>
      <w:color w:val="000000"/>
      <w:sz w:val="24"/>
      <w:szCs w:val="24"/>
    </w:rPr>
  </w:style>
  <w:style w:type="paragraph" w:styleId="Title">
    <w:name w:val="Title"/>
    <w:basedOn w:val="Normal"/>
    <w:next w:val="Normal"/>
    <w:pPr>
      <w:keepNext w:val="1"/>
      <w:keepLines w:val="1"/>
      <w:spacing w:after="240" w:before="480" w:lineRule="auto"/>
      <w:jc w:val="center"/>
    </w:pPr>
    <w:rPr>
      <w:rFonts w:ascii="Times New Roman" w:cs="Times New Roman" w:eastAsia="Times New Roman" w:hAnsi="Times New Roman"/>
      <w:b w:val="1"/>
      <w:bCs w:val="1"/>
      <w:i w:val="0"/>
      <w:iCs w:val="0"/>
      <w:color w:val="000000"/>
      <w:sz w:val="28"/>
      <w:szCs w:val="28"/>
    </w:rPr>
  </w:style>
  <w:style w:type="paragraph" w:styleId="Subtitle">
    <w:name w:val="Subtitle"/>
    <w:basedOn w:val="Normal"/>
    <w:next w:val="Normal"/>
    <w:pPr>
      <w:keepNext w:val="1"/>
      <w:keepLines w:val="1"/>
      <w:spacing w:after="240" w:before="240" w:lineRule="auto"/>
      <w:jc w:val="center"/>
    </w:pPr>
    <w:rPr>
      <w:rFonts w:ascii="Times New Roman" w:cs="Times New Roman" w:eastAsia="Times New Roman" w:hAnsi="Times New Roman"/>
      <w:b w:val="1"/>
      <w:bCs w:val="1"/>
      <w:i w:val="0"/>
      <w:iCs w:val="0"/>
      <w:color w:val="000000"/>
      <w:sz w:val="30"/>
      <w:szCs w:val="30"/>
    </w:rPr>
  </w:style>
  <w:style w:type="table" w:styleId="Table1">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2">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3">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4">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5">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6">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7">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8">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9">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10">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11">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12">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13">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 w:type="table" w:styleId="Table14">
    <w:basedOn w:val="TableNormal"/>
    <w:tblPr>
      <w:tblStyleRowBandSize w:val="1"/>
      <w:tblStyleColBandSize w:val="1"/>
      <w:tblCellMar>
        <w:top w:w="0.0" w:type="dxa"/>
        <w:left w:w="108.0" w:type="dxa"/>
        <w:bottom w:w="0.0" w:type="dxa"/>
        <w:right w:w="108.0" w:type="dxa"/>
      </w:tblCellMar>
    </w:tblPr>
    <w:tblStylePr w:type="firstRow">
      <w:tcPr>
        <w:vAlign w:val="bottom"/>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udex-regular.ttf"/><Relationship Id="rId2" Type="http://schemas.openxmlformats.org/officeDocument/2006/relationships/font" Target="fonts/Caudex-bold.ttf"/><Relationship Id="rId3" Type="http://schemas.openxmlformats.org/officeDocument/2006/relationships/font" Target="fonts/Caudex-italic.ttf"/><Relationship Id="rId4" Type="http://schemas.openxmlformats.org/officeDocument/2006/relationships/font" Target="fonts/Caudex-boldItalic.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xRcrf2FdwqKST27B5Jm38qZ1Ww==">CgMxLjAaJQoBMBIgCh4IB0IaCg9UaW1lcyBOZXcgUm9tYW4SB0d1bmdzdWgaJAoBMRIfCh0IB0IZCg9UaW1lcyBOZXcgUm9tYW4SBkNhdWRleBolCgEyEiAKHggHQhoKD1RpbWVzIE5ldyBSb21hbhIHR3VuZ3N1aBolCgEzEiAKHggHQhoKD1RpbWVzIE5ldyBSb21hbhIHR3VuZ3N1aBolCgE0EiAKHggHQhoKD1RpbWVzIE5ldyBSb21hbh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