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7DBE7" w14:textId="77777777" w:rsidR="00D37049" w:rsidRPr="00D37049" w:rsidRDefault="00D37049" w:rsidP="00D37049">
      <w:pPr>
        <w:rPr>
          <w:b/>
          <w:bCs/>
          <w:lang w:val="en-US"/>
        </w:rPr>
      </w:pPr>
      <w:r w:rsidRPr="00D37049">
        <w:rPr>
          <w:b/>
          <w:bCs/>
          <w:lang w:val="en-US"/>
        </w:rPr>
        <w:t>Supplementary Information</w:t>
      </w:r>
    </w:p>
    <w:p w14:paraId="12BC105A" w14:textId="77777777" w:rsidR="00D37049" w:rsidRPr="00D37049" w:rsidRDefault="00D37049" w:rsidP="00D37049">
      <w:pPr>
        <w:rPr>
          <w:b/>
          <w:bCs/>
          <w:lang w:val="en-US"/>
        </w:rPr>
      </w:pPr>
    </w:p>
    <w:p w14:paraId="53CC01AB" w14:textId="77777777" w:rsidR="00D37049" w:rsidRPr="00D37049" w:rsidRDefault="00D37049" w:rsidP="00D37049">
      <w:pPr>
        <w:rPr>
          <w:b/>
          <w:bCs/>
          <w:lang w:val="en-US"/>
        </w:rPr>
      </w:pPr>
      <w:r w:rsidRPr="00D37049">
        <w:rPr>
          <w:b/>
          <w:bCs/>
          <w:lang w:val="en-US"/>
        </w:rPr>
        <w:t>Supplementary Figures</w:t>
      </w:r>
    </w:p>
    <w:p w14:paraId="5468E712" w14:textId="77777777" w:rsidR="00D37049" w:rsidRPr="00D37049" w:rsidRDefault="00D37049" w:rsidP="00D37049">
      <w:pPr>
        <w:rPr>
          <w:lang w:val="en-US"/>
        </w:rPr>
      </w:pPr>
    </w:p>
    <w:p w14:paraId="5775713C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>Figure S1:</w:t>
      </w:r>
      <w:r w:rsidRPr="00D37049">
        <w:rPr>
          <w:lang w:val="en-US"/>
        </w:rPr>
        <w:t xml:space="preserve"> The flowchart of the entire study.</w:t>
      </w:r>
    </w:p>
    <w:p w14:paraId="4F85E084" w14:textId="77777777" w:rsidR="00D37049" w:rsidRPr="00D37049" w:rsidRDefault="00D37049" w:rsidP="00D37049">
      <w:pPr>
        <w:rPr>
          <w:lang w:val="en-US"/>
        </w:rPr>
      </w:pPr>
    </w:p>
    <w:p w14:paraId="5E02FA00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 xml:space="preserve">Figure S2. </w:t>
      </w:r>
      <w:r w:rsidRPr="00D37049">
        <w:rPr>
          <w:lang w:val="en-US"/>
        </w:rPr>
        <w:t>Kaplan-Meier survival curves based on 5 BM-related lncRNA. (A) SFTA3, (B) SNHG3, (C) MIR205HG, (D) TMEM105, and (E) HHLA3 relationship with the prognosis of IPF patients.</w:t>
      </w:r>
    </w:p>
    <w:p w14:paraId="333DA7DE" w14:textId="77777777" w:rsidR="00D37049" w:rsidRPr="00D37049" w:rsidRDefault="00D37049" w:rsidP="00D37049">
      <w:pPr>
        <w:rPr>
          <w:lang w:val="en-US"/>
        </w:rPr>
      </w:pPr>
    </w:p>
    <w:p w14:paraId="5F5DCFA1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>Figure S3.</w:t>
      </w:r>
      <w:r w:rsidRPr="00D37049">
        <w:rPr>
          <w:lang w:val="en-US"/>
        </w:rPr>
        <w:t xml:space="preserve"> Validation of the risk score within the test cohort. (A) Kaplan-Meier survival curves based on risk score groups. (B) PCA analysis between high-risk and low-risk groups in the test cohort. (C) The ROC curve for the risk score is based on the 1-year and 3-year overall survival. (D-E) Ranked dot and scatter plots depict risk scores’ distribution and patient survival. (F) Expression patterns of 5 </w:t>
      </w:r>
      <w:proofErr w:type="spellStart"/>
      <w:r w:rsidRPr="00D37049">
        <w:rPr>
          <w:lang w:val="en-US"/>
        </w:rPr>
        <w:t>lncRNAs</w:t>
      </w:r>
      <w:proofErr w:type="spellEnd"/>
      <w:r w:rsidRPr="00D37049">
        <w:rPr>
          <w:lang w:val="en-US"/>
        </w:rPr>
        <w:t xml:space="preserve"> as measured by risk scores.</w:t>
      </w:r>
    </w:p>
    <w:p w14:paraId="2CF3477B" w14:textId="77777777" w:rsidR="00D37049" w:rsidRPr="00D37049" w:rsidRDefault="00D37049" w:rsidP="00D37049">
      <w:pPr>
        <w:rPr>
          <w:lang w:val="en-US"/>
        </w:rPr>
      </w:pPr>
    </w:p>
    <w:p w14:paraId="0C09F40E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>Figure S4.</w:t>
      </w:r>
      <w:r w:rsidRPr="00D37049">
        <w:rPr>
          <w:lang w:val="en-US"/>
        </w:rPr>
        <w:t xml:space="preserve"> Validation of the risk score within the training cohort. (A) Kaplan-Meier survival curves based on risk score groups. (B) PCA analysis between high-risk and low-risk groups in the training cohort. (C) The ROC curve for the risk score is based on the 1-year and 3-year overall survival. (D-E) Ranked dot and scatter plots depict risk scores’ distribution and patient survival. (F) Expression patterns of 5 </w:t>
      </w:r>
      <w:proofErr w:type="spellStart"/>
      <w:r w:rsidRPr="00D37049">
        <w:rPr>
          <w:lang w:val="en-US"/>
        </w:rPr>
        <w:t>lncRNAs</w:t>
      </w:r>
      <w:proofErr w:type="spellEnd"/>
      <w:r w:rsidRPr="00D37049">
        <w:rPr>
          <w:lang w:val="en-US"/>
        </w:rPr>
        <w:t xml:space="preserve"> as measured by risk scores.</w:t>
      </w:r>
    </w:p>
    <w:p w14:paraId="74E483AA" w14:textId="77777777" w:rsidR="00D37049" w:rsidRPr="00D37049" w:rsidRDefault="00D37049" w:rsidP="00D37049">
      <w:pPr>
        <w:rPr>
          <w:lang w:val="en-US"/>
        </w:rPr>
      </w:pPr>
    </w:p>
    <w:p w14:paraId="7D9C1501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>Figure S5.</w:t>
      </w:r>
      <w:r w:rsidRPr="00D37049">
        <w:rPr>
          <w:lang w:val="en-US"/>
        </w:rPr>
        <w:t xml:space="preserve"> Displaying the Schoenfeld test results to validate the proportional hazard assumption of the model.</w:t>
      </w:r>
    </w:p>
    <w:p w14:paraId="67DEB821" w14:textId="77777777" w:rsidR="00D37049" w:rsidRPr="00D37049" w:rsidRDefault="00D37049" w:rsidP="00D37049">
      <w:pPr>
        <w:rPr>
          <w:lang w:val="en-US"/>
        </w:rPr>
      </w:pPr>
    </w:p>
    <w:p w14:paraId="664AB210" w14:textId="77777777" w:rsidR="00D37049" w:rsidRPr="00D37049" w:rsidRDefault="00D37049" w:rsidP="00D37049">
      <w:pPr>
        <w:rPr>
          <w:b/>
          <w:bCs/>
          <w:lang w:val="en-US"/>
        </w:rPr>
      </w:pPr>
      <w:r w:rsidRPr="00D37049">
        <w:rPr>
          <w:b/>
          <w:bCs/>
          <w:lang w:val="en-US"/>
        </w:rPr>
        <w:t>Supplementary Tables</w:t>
      </w:r>
    </w:p>
    <w:p w14:paraId="5A9DF51D" w14:textId="77777777" w:rsidR="00D37049" w:rsidRPr="00D37049" w:rsidRDefault="00D37049" w:rsidP="00D37049">
      <w:pPr>
        <w:rPr>
          <w:b/>
          <w:bCs/>
          <w:lang w:val="en-US"/>
        </w:rPr>
      </w:pPr>
    </w:p>
    <w:p w14:paraId="78D1498D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>Table S1:</w:t>
      </w:r>
      <w:r w:rsidRPr="00D37049">
        <w:rPr>
          <w:lang w:val="en-US"/>
        </w:rPr>
        <w:t xml:space="preserve"> Clinical information of 176 IPF patients.</w:t>
      </w:r>
    </w:p>
    <w:p w14:paraId="0FFF9545" w14:textId="77777777" w:rsidR="00D37049" w:rsidRPr="00D37049" w:rsidRDefault="00D37049" w:rsidP="00D37049">
      <w:pPr>
        <w:rPr>
          <w:lang w:val="en-US"/>
        </w:rPr>
      </w:pPr>
    </w:p>
    <w:p w14:paraId="5B0E3309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>Table S2:</w:t>
      </w:r>
      <w:r w:rsidRPr="00D37049">
        <w:rPr>
          <w:lang w:val="en-US"/>
        </w:rPr>
        <w:t xml:space="preserve"> A summary of 160 genes associated with Basement </w:t>
      </w:r>
      <w:proofErr w:type="spellStart"/>
      <w:r w:rsidRPr="00D37049">
        <w:rPr>
          <w:lang w:val="en-US"/>
        </w:rPr>
        <w:t>Membrance</w:t>
      </w:r>
      <w:proofErr w:type="spellEnd"/>
      <w:r w:rsidRPr="00D37049">
        <w:rPr>
          <w:lang w:val="en-US"/>
        </w:rPr>
        <w:t>.</w:t>
      </w:r>
    </w:p>
    <w:p w14:paraId="4AC8B83C" w14:textId="77777777" w:rsidR="00D37049" w:rsidRPr="00D37049" w:rsidRDefault="00D37049" w:rsidP="00D37049">
      <w:pPr>
        <w:rPr>
          <w:lang w:val="en-US"/>
        </w:rPr>
      </w:pPr>
    </w:p>
    <w:p w14:paraId="1150B914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 xml:space="preserve">Table S3: </w:t>
      </w:r>
      <w:r w:rsidRPr="00D37049">
        <w:rPr>
          <w:lang w:val="en-US"/>
        </w:rPr>
        <w:t>The univariate Cox regression analysis of identifying 34 genes related to IPF prognosis.</w:t>
      </w:r>
    </w:p>
    <w:p w14:paraId="60D90197" w14:textId="77777777" w:rsidR="00D37049" w:rsidRPr="00D37049" w:rsidRDefault="00D37049" w:rsidP="00D37049">
      <w:pPr>
        <w:rPr>
          <w:lang w:val="en-US"/>
        </w:rPr>
      </w:pPr>
    </w:p>
    <w:p w14:paraId="001EE915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 xml:space="preserve">Table S4: </w:t>
      </w:r>
      <w:r w:rsidRPr="00D37049">
        <w:rPr>
          <w:lang w:val="en-US"/>
        </w:rPr>
        <w:t xml:space="preserve">LASSO regression coefficients of 9 BM-related </w:t>
      </w:r>
      <w:proofErr w:type="spellStart"/>
      <w:r w:rsidRPr="00D37049">
        <w:rPr>
          <w:lang w:val="en-US"/>
        </w:rPr>
        <w:t>lncRNAs</w:t>
      </w:r>
      <w:proofErr w:type="spellEnd"/>
      <w:r w:rsidRPr="00D37049">
        <w:rPr>
          <w:lang w:val="en-US"/>
        </w:rPr>
        <w:t>.</w:t>
      </w:r>
    </w:p>
    <w:p w14:paraId="3CE07B55" w14:textId="77777777" w:rsidR="00D37049" w:rsidRPr="00D37049" w:rsidRDefault="00D37049" w:rsidP="00D37049">
      <w:pPr>
        <w:rPr>
          <w:lang w:val="en-US"/>
        </w:rPr>
      </w:pPr>
    </w:p>
    <w:p w14:paraId="0AE84845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 xml:space="preserve">Table S5: </w:t>
      </w:r>
      <w:r w:rsidRPr="00D37049">
        <w:rPr>
          <w:lang w:val="en-US"/>
        </w:rPr>
        <w:t>Nomogram Cox Regression with Proportional</w:t>
      </w:r>
    </w:p>
    <w:p w14:paraId="0C293F82" w14:textId="77777777" w:rsidR="00D37049" w:rsidRPr="00D37049" w:rsidRDefault="00D37049" w:rsidP="00D37049">
      <w:pPr>
        <w:rPr>
          <w:lang w:val="en-US"/>
        </w:rPr>
      </w:pPr>
    </w:p>
    <w:p w14:paraId="257619CC" w14:textId="77777777" w:rsidR="00D37049" w:rsidRPr="00D37049" w:rsidRDefault="00D37049" w:rsidP="00D37049">
      <w:pPr>
        <w:rPr>
          <w:lang w:val="en-US"/>
        </w:rPr>
      </w:pPr>
      <w:r w:rsidRPr="00D37049">
        <w:rPr>
          <w:b/>
          <w:bCs/>
          <w:lang w:val="en-US"/>
        </w:rPr>
        <w:t xml:space="preserve">Table S6: </w:t>
      </w:r>
      <w:r w:rsidRPr="00D37049">
        <w:rPr>
          <w:lang w:val="en-US"/>
        </w:rPr>
        <w:t>GSVA enrichment analysis reveals the activation</w:t>
      </w:r>
    </w:p>
    <w:p w14:paraId="3EC86A18" w14:textId="77777777" w:rsidR="00D37049" w:rsidRPr="00D37049" w:rsidRDefault="00D37049" w:rsidP="00D37049">
      <w:pPr>
        <w:rPr>
          <w:b/>
          <w:bCs/>
          <w:lang w:val="en-US"/>
        </w:rPr>
      </w:pPr>
    </w:p>
    <w:p w14:paraId="299B0365" w14:textId="77777777" w:rsidR="00D37049" w:rsidRPr="00D37049" w:rsidRDefault="00D37049" w:rsidP="00D37049">
      <w:pPr>
        <w:rPr>
          <w:lang w:val="en-US"/>
        </w:rPr>
      </w:pPr>
      <w:r w:rsidRPr="00D37049">
        <w:rPr>
          <w:lang w:val="en-US"/>
        </w:rPr>
        <w:fldChar w:fldCharType="begin"/>
      </w:r>
      <w:r w:rsidRPr="00D37049">
        <w:rPr>
          <w:lang w:val="en-US"/>
        </w:rPr>
        <w:instrText xml:space="preserve"> ADDIN </w:instrText>
      </w:r>
      <w:r w:rsidRPr="00D37049">
        <w:fldChar w:fldCharType="end"/>
      </w:r>
    </w:p>
    <w:p w14:paraId="795AB93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49"/>
    <w:rsid w:val="00767E38"/>
    <w:rsid w:val="00866F7D"/>
    <w:rsid w:val="00D37049"/>
    <w:rsid w:val="00ED0D9B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F1B0C"/>
  <w15:chartTrackingRefBased/>
  <w15:docId w15:val="{9C100C70-25B5-4EF9-971F-C8AE7209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7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7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7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7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2026-07-28T12:55:00Z</dcterms:created>
  <dcterms:modified xsi:type="dcterms:W3CDTF">2026-07-28T12:55:00Z</dcterms:modified>
</cp:coreProperties>
</file>