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24BA5">
      <w:pPr>
        <w:pStyle w:val="4"/>
        <w:keepNext w:val="0"/>
        <w:pageBreakBefore w:val="0"/>
        <w:widowControl/>
        <w:kinsoku/>
        <w:overflowPunct/>
        <w:topLinePunct w:val="0"/>
        <w:bidi w:val="0"/>
        <w:snapToGrid/>
        <w:spacing w:line="480" w:lineRule="auto"/>
        <w:ind w:firstLine="0" w:firstLineChars="0"/>
        <w:textAlignment w:val="auto"/>
        <w:rPr>
          <w:rFonts w:hint="eastAsia"/>
          <w:sz w:val="36"/>
          <w:szCs w:val="48"/>
          <w:lang w:val="en-US" w:eastAsia="zh-CN"/>
        </w:rPr>
      </w:pPr>
      <w:r>
        <w:rPr>
          <w:sz w:val="36"/>
          <w:szCs w:val="48"/>
        </w:rPr>
        <w:fldChar w:fldCharType="begin">
          <w:fldData xml:space="preserve">ZQBKAHoAdABYAFEAMQB3AFgATQBWADkAZgAwADkAMwB1AG4AdABhAEsANwBVADQAdwBLAE8ASwBw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=
</w:fldData>
        </w:fldChar>
      </w:r>
      <w:r>
        <w:rPr>
          <w:sz w:val="36"/>
          <w:szCs w:val="48"/>
        </w:rPr>
        <w:instrText xml:space="preserve">ADDIN CNKISM.UserStyle</w:instrText>
      </w:r>
      <w:r>
        <w:rPr>
          <w:sz w:val="36"/>
          <w:szCs w:val="48"/>
        </w:rPr>
        <w:fldChar w:fldCharType="separate"/>
      </w:r>
      <w:r>
        <w:rPr>
          <w:sz w:val="36"/>
          <w:szCs w:val="48"/>
        </w:rPr>
        <w:fldChar w:fldCharType="end"/>
      </w:r>
      <w:r>
        <w:rPr>
          <w:sz w:val="36"/>
          <w:szCs w:val="48"/>
        </w:rPr>
        <w:t>Supplementary Information for</w:t>
      </w:r>
      <w:r>
        <w:rPr>
          <w:rFonts w:hint="eastAsia"/>
          <w:sz w:val="36"/>
          <w:szCs w:val="48"/>
          <w:lang w:val="en-US" w:eastAsia="zh-CN"/>
        </w:rPr>
        <w:t xml:space="preserve"> </w:t>
      </w:r>
    </w:p>
    <w:p w14:paraId="05E23335">
      <w:pPr>
        <w:widowControl/>
        <w:autoSpaceDE w:val="0"/>
        <w:autoSpaceDN w:val="0"/>
        <w:adjustRightInd w:val="0"/>
        <w:spacing w:line="480" w:lineRule="auto"/>
        <w:ind w:firstLine="0" w:firstLineChars="0"/>
        <w:jc w:val="center"/>
        <w:outlineLvl w:val="0"/>
        <w:rPr>
          <w:rFonts w:ascii="Times New Roman" w:hAnsi="Times New Roman" w:eastAsia="宋体" w:cs="Times New Roman"/>
          <w:b/>
          <w:bCs/>
          <w:kern w:val="0"/>
          <w:sz w:val="28"/>
          <w:szCs w:val="28"/>
          <w:lang w:val="en-US" w:eastAsia="en-US" w:bidi="ar-SA"/>
        </w:rPr>
      </w:pPr>
      <w:r>
        <w:rPr>
          <w:rFonts w:hint="eastAsia" w:ascii="Times New Roman" w:hAnsi="Times New Roman" w:eastAsia="宋体" w:cs="Times New Roman"/>
          <w:b/>
          <w:bCs/>
          <w:kern w:val="0"/>
          <w:sz w:val="28"/>
          <w:szCs w:val="28"/>
          <w:lang w:val="en-US" w:eastAsia="en-US" w:bidi="ar-SA"/>
        </w:rPr>
        <w:t>Long-Term Changes in Heatwave</w:t>
      </w:r>
      <w:r>
        <w:rPr>
          <w:rFonts w:hint="eastAsia" w:ascii="Times New Roman" w:hAnsi="Times New Roman" w:eastAsia="宋体" w:cs="Times New Roman"/>
          <w:b/>
          <w:bCs/>
          <w:kern w:val="0"/>
          <w:sz w:val="28"/>
          <w:szCs w:val="28"/>
          <w:lang w:val="en-US" w:eastAsia="zh-CN" w:bidi="ar-SA"/>
        </w:rPr>
        <w:t>-</w:t>
      </w:r>
      <w:r>
        <w:rPr>
          <w:rFonts w:hint="eastAsia" w:ascii="Times New Roman" w:hAnsi="Times New Roman" w:eastAsia="宋体" w:cs="Times New Roman"/>
          <w:b/>
          <w:bCs/>
          <w:kern w:val="0"/>
          <w:sz w:val="28"/>
          <w:szCs w:val="28"/>
          <w:lang w:val="en-US" w:eastAsia="en-US" w:bidi="ar-SA"/>
        </w:rPr>
        <w:t>Ozone Compound Events and Spatially Heterogeneous Ozone Associations across China</w:t>
      </w:r>
    </w:p>
    <w:p w14:paraId="31F5BEBB">
      <w:pPr>
        <w:spacing w:line="360" w:lineRule="auto"/>
        <w:ind w:firstLine="562"/>
        <w:jc w:val="center"/>
        <w:rPr>
          <w:rFonts w:hint="default" w:ascii="Times New Roman" w:hAnsi="Times New Roman" w:cs="Times New Roman"/>
          <w:b/>
          <w:bCs/>
          <w:sz w:val="24"/>
          <w:szCs w:val="24"/>
        </w:rPr>
      </w:pPr>
      <w:r>
        <w:rPr>
          <w:rFonts w:hint="default" w:ascii="Times New Roman" w:hAnsi="Times New Roman" w:cs="Times New Roman"/>
          <w:b/>
          <w:bCs/>
          <w:sz w:val="24"/>
          <w:szCs w:val="24"/>
        </w:rPr>
        <w:t>Zhihe Yuan</w:t>
      </w:r>
      <w:r>
        <w:rPr>
          <w:rFonts w:hint="default" w:ascii="Times New Roman" w:hAnsi="Times New Roman" w:cs="Times New Roman"/>
          <w:b/>
          <w:bCs/>
          <w:sz w:val="24"/>
          <w:szCs w:val="24"/>
          <w:vertAlign w:val="superscript"/>
        </w:rPr>
        <w:t>a</w:t>
      </w:r>
      <w:r>
        <w:rPr>
          <w:rFonts w:hint="default" w:ascii="Times New Roman" w:hAnsi="Times New Roman" w:cs="Times New Roman"/>
          <w:b/>
          <w:bCs/>
          <w:sz w:val="24"/>
          <w:szCs w:val="24"/>
        </w:rPr>
        <w:t>，Xiaoling Zhang</w:t>
      </w:r>
      <w:r>
        <w:rPr>
          <w:rFonts w:hint="default" w:ascii="Times New Roman" w:hAnsi="Times New Roman" w:cs="Times New Roman"/>
          <w:b/>
          <w:bCs/>
          <w:sz w:val="24"/>
          <w:szCs w:val="24"/>
          <w:vertAlign w:val="superscript"/>
        </w:rPr>
        <w:t>a, b,*</w:t>
      </w:r>
      <w:r>
        <w:rPr>
          <w:rFonts w:hint="default" w:ascii="Times New Roman" w:hAnsi="Times New Roman" w:cs="Times New Roman"/>
          <w:b/>
          <w:bCs/>
          <w:sz w:val="24"/>
          <w:szCs w:val="24"/>
        </w:rPr>
        <w:t>, Xinying Qin</w:t>
      </w:r>
      <w:r>
        <w:rPr>
          <w:rFonts w:hint="default" w:ascii="Times New Roman" w:hAnsi="Times New Roman" w:cs="Times New Roman"/>
          <w:b/>
          <w:bCs/>
          <w:sz w:val="24"/>
          <w:szCs w:val="24"/>
          <w:vertAlign w:val="superscript"/>
        </w:rPr>
        <w:t>a, b</w:t>
      </w:r>
      <w:r>
        <w:rPr>
          <w:rFonts w:hint="default" w:ascii="Times New Roman" w:hAnsi="Times New Roman" w:cs="Times New Roman"/>
          <w:b/>
          <w:bCs/>
          <w:sz w:val="24"/>
          <w:szCs w:val="24"/>
        </w:rPr>
        <w:t>, Yulu He</w:t>
      </w:r>
      <w:r>
        <w:rPr>
          <w:rFonts w:hint="default" w:ascii="Times New Roman" w:hAnsi="Times New Roman" w:cs="Times New Roman"/>
          <w:b/>
          <w:bCs/>
          <w:sz w:val="24"/>
          <w:szCs w:val="24"/>
          <w:vertAlign w:val="superscript"/>
        </w:rPr>
        <w:t>a, c</w:t>
      </w:r>
      <w:r>
        <w:rPr>
          <w:rFonts w:hint="default" w:ascii="Times New Roman" w:hAnsi="Times New Roman" w:cs="Times New Roman"/>
          <w:b/>
          <w:bCs/>
          <w:sz w:val="24"/>
          <w:szCs w:val="24"/>
        </w:rPr>
        <w:t>,</w:t>
      </w:r>
    </w:p>
    <w:p w14:paraId="586E412A">
      <w:pPr>
        <w:spacing w:line="360" w:lineRule="auto"/>
        <w:ind w:firstLine="562"/>
        <w:jc w:val="center"/>
        <w:rPr>
          <w:rFonts w:hint="default" w:ascii="Times New Roman" w:hAnsi="Times New Roman" w:cs="Times New Roman"/>
          <w:b/>
          <w:bCs/>
          <w:sz w:val="24"/>
          <w:szCs w:val="24"/>
        </w:rPr>
      </w:pPr>
      <w:r>
        <w:rPr>
          <w:rFonts w:hint="default" w:ascii="Times New Roman" w:hAnsi="Times New Roman" w:cs="Times New Roman"/>
          <w:b/>
          <w:bCs/>
          <w:sz w:val="24"/>
          <w:szCs w:val="24"/>
        </w:rPr>
        <w:t>Yijia Yin</w:t>
      </w:r>
      <w:r>
        <w:rPr>
          <w:rFonts w:hint="default" w:ascii="Times New Roman" w:hAnsi="Times New Roman" w:cs="Times New Roman"/>
          <w:b/>
          <w:bCs/>
          <w:sz w:val="24"/>
          <w:szCs w:val="24"/>
          <w:vertAlign w:val="superscript"/>
        </w:rPr>
        <w:t>a</w:t>
      </w:r>
      <w:r>
        <w:rPr>
          <w:rFonts w:hint="default" w:ascii="Times New Roman" w:hAnsi="Times New Roman" w:cs="Times New Roman"/>
          <w:b/>
          <w:bCs/>
          <w:sz w:val="24"/>
          <w:szCs w:val="24"/>
          <w:vertAlign w:val="baseline"/>
        </w:rPr>
        <w:t>，</w:t>
      </w:r>
      <w:r>
        <w:rPr>
          <w:rFonts w:hint="default" w:ascii="Times New Roman" w:hAnsi="Times New Roman" w:cs="Times New Roman"/>
          <w:b/>
          <w:bCs/>
          <w:sz w:val="24"/>
          <w:szCs w:val="24"/>
        </w:rPr>
        <w:t>Yong Chen</w:t>
      </w:r>
      <w:r>
        <w:rPr>
          <w:rFonts w:hint="default" w:ascii="Times New Roman" w:hAnsi="Times New Roman" w:cs="Times New Roman"/>
          <w:b/>
          <w:bCs/>
          <w:sz w:val="24"/>
          <w:szCs w:val="24"/>
          <w:vertAlign w:val="superscript"/>
        </w:rPr>
        <w:t>a</w:t>
      </w:r>
    </w:p>
    <w:p w14:paraId="73F154A7">
      <w:pPr>
        <w:spacing w:line="360" w:lineRule="auto"/>
        <w:ind w:firstLine="480"/>
        <w:jc w:val="both"/>
        <w:rPr>
          <w:rFonts w:ascii="Times New Roman" w:hAnsi="Times New Roman"/>
          <w:i/>
          <w:iCs/>
        </w:rPr>
      </w:pPr>
      <w:r>
        <w:rPr>
          <w:rFonts w:ascii="Times New Roman" w:hAnsi="Times New Roman"/>
          <w:i/>
          <w:iCs/>
          <w:vertAlign w:val="superscript"/>
        </w:rPr>
        <w:t xml:space="preserve">a </w:t>
      </w:r>
      <w:r>
        <w:rPr>
          <w:rFonts w:ascii="Times New Roman" w:hAnsi="Times New Roman"/>
          <w:i/>
          <w:iCs/>
        </w:rPr>
        <w:t>Climate Change and Resource Utilization in Complex Terrain Regions Key Laboratory of Sichuan Province, School of Atmospheric Sciences, Chengdu University of Information Technology, Chengdu 610225, Sichuan, China</w:t>
      </w:r>
    </w:p>
    <w:p w14:paraId="5EB416CE">
      <w:pPr>
        <w:spacing w:line="360" w:lineRule="auto"/>
        <w:ind w:firstLine="480"/>
        <w:jc w:val="both"/>
        <w:rPr>
          <w:rFonts w:ascii="Times New Roman" w:hAnsi="Times New Roman"/>
          <w:i/>
          <w:iCs/>
        </w:rPr>
      </w:pPr>
      <w:r>
        <w:rPr>
          <w:rFonts w:ascii="Times New Roman" w:hAnsi="Times New Roman"/>
          <w:i/>
          <w:iCs/>
          <w:vertAlign w:val="superscript"/>
        </w:rPr>
        <w:t>b</w:t>
      </w:r>
      <w:r>
        <w:rPr>
          <w:rFonts w:ascii="Times New Roman" w:hAnsi="Times New Roman"/>
          <w:i/>
          <w:iCs/>
        </w:rPr>
        <w:t xml:space="preserve"> Chengdu Plain Urban Meteorology and Environment Observation and Research Station of Sichuan Province/Sichuan Provincial Engineering Research Center for Meteorological Disaster Prediction and Early Warning, Chengdu 610225, Sichuan, China</w:t>
      </w:r>
    </w:p>
    <w:p w14:paraId="2A36AF2A">
      <w:pPr>
        <w:spacing w:line="360" w:lineRule="auto"/>
        <w:ind w:firstLine="480"/>
        <w:jc w:val="both"/>
        <w:rPr>
          <w:rFonts w:ascii="Times New Roman" w:hAnsi="Times New Roman"/>
          <w:i/>
          <w:iCs/>
          <w:color w:val="000000"/>
        </w:rPr>
      </w:pPr>
      <w:r>
        <w:rPr>
          <w:rFonts w:ascii="Times New Roman" w:hAnsi="Times New Roman"/>
          <w:i/>
          <w:iCs/>
          <w:color w:val="000000"/>
          <w:vertAlign w:val="superscript"/>
        </w:rPr>
        <w:t>c</w:t>
      </w:r>
      <w:r>
        <w:rPr>
          <w:rFonts w:ascii="Times New Roman" w:hAnsi="Times New Roman"/>
          <w:i/>
          <w:iCs/>
          <w:color w:val="000000"/>
        </w:rPr>
        <w:t xml:space="preserve"> </w:t>
      </w:r>
      <w:r>
        <w:rPr>
          <w:rFonts w:hint="eastAsia" w:ascii="Times New Roman" w:hAnsi="Times New Roman"/>
          <w:i/>
          <w:iCs/>
          <w:color w:val="000000"/>
        </w:rPr>
        <w:t>Leipzig Institute for Meteorology, Leipzig University, Leipzig 04103, Germany</w:t>
      </w:r>
    </w:p>
    <w:p w14:paraId="69032E0F">
      <w:pPr>
        <w:spacing w:line="360" w:lineRule="auto"/>
        <w:ind w:firstLine="480"/>
        <w:jc w:val="both"/>
        <w:rPr>
          <w:rFonts w:ascii="Times New Roman" w:hAnsi="Times New Roman"/>
          <w:i/>
          <w:iCs/>
        </w:rPr>
      </w:pPr>
      <w:r>
        <w:rPr>
          <w:rFonts w:ascii="Times New Roman" w:hAnsi="Times New Roman"/>
          <w:i/>
          <w:iCs/>
        </w:rPr>
        <w:t>*Corresponding author.</w:t>
      </w:r>
    </w:p>
    <w:p w14:paraId="1B7B0433">
      <w:pPr>
        <w:spacing w:line="360" w:lineRule="auto"/>
        <w:ind w:firstLine="480"/>
        <w:jc w:val="both"/>
        <w:rPr>
          <w:rFonts w:ascii="宋体" w:hAnsi="宋体" w:cs="宋体"/>
          <w:lang w:eastAsia="en-US"/>
        </w:rPr>
      </w:pPr>
      <w:r>
        <w:rPr>
          <w:rFonts w:ascii="Times New Roman" w:hAnsi="Times New Roman"/>
          <w:i/>
          <w:iCs/>
        </w:rPr>
        <w:t>E-mail address:</w:t>
      </w:r>
      <w:r>
        <w:rPr>
          <w:rFonts w:ascii="Times New Roman" w:hAnsi="Times New Roman"/>
          <w:i/>
          <w:iCs/>
          <w:color w:val="000000" w:themeColor="text1"/>
          <w14:textFill>
            <w14:solidFill>
              <w14:schemeClr w14:val="tx1"/>
            </w14:solidFill>
          </w14:textFill>
        </w:rPr>
        <w:t xml:space="preserve"> xlzhang@ium.cn</w:t>
      </w:r>
      <w:r>
        <w:rPr>
          <w:rFonts w:ascii="Times New Roman" w:hAnsi="Times New Roman"/>
          <w:i/>
          <w:iCs/>
        </w:rPr>
        <w:t xml:space="preserve"> (X. Zhang)</w:t>
      </w:r>
    </w:p>
    <w:p w14:paraId="2866B677">
      <w:pPr>
        <w:widowControl/>
        <w:spacing w:line="360" w:lineRule="auto"/>
        <w:ind w:firstLine="480" w:firstLineChars="0"/>
        <w:jc w:val="both"/>
        <w:rPr>
          <w:rFonts w:ascii="宋体" w:hAnsi="宋体" w:cs="宋体"/>
          <w:lang w:eastAsia="en-US"/>
        </w:rPr>
      </w:pPr>
    </w:p>
    <w:p w14:paraId="77193156">
      <w:pPr>
        <w:keepNext w:val="0"/>
        <w:pageBreakBefore w:val="0"/>
        <w:kinsoku/>
        <w:overflowPunct/>
        <w:topLinePunct w:val="0"/>
        <w:bidi w:val="0"/>
        <w:snapToGrid/>
        <w:spacing w:line="360" w:lineRule="auto"/>
        <w:jc w:val="both"/>
        <w:textAlignment w:val="auto"/>
        <w:rPr>
          <w:rFonts w:ascii="Times New Roman" w:hAnsi="Times New Roman"/>
          <w:b/>
          <w:bCs/>
          <w:sz w:val="28"/>
          <w:szCs w:val="28"/>
        </w:rPr>
      </w:pPr>
    </w:p>
    <w:p w14:paraId="5FEECB0A">
      <w:pPr>
        <w:keepNext w:val="0"/>
        <w:pageBreakBefore w:val="0"/>
        <w:kinsoku/>
        <w:overflowPunct/>
        <w:topLinePunct w:val="0"/>
        <w:bidi w:val="0"/>
        <w:snapToGrid/>
        <w:textAlignment w:val="auto"/>
      </w:pPr>
      <w:r>
        <w:br w:type="page"/>
      </w:r>
    </w:p>
    <w:p w14:paraId="362A4C07">
      <w:pPr>
        <w:pStyle w:val="4"/>
        <w:keepNext w:val="0"/>
        <w:keepLines w:val="0"/>
        <w:pageBreakBefore w:val="0"/>
        <w:widowControl/>
        <w:numPr>
          <w:ilvl w:val="0"/>
          <w:numId w:val="0"/>
        </w:numPr>
        <w:kinsoku/>
        <w:wordWrap/>
        <w:overflowPunct/>
        <w:topLinePunct w:val="0"/>
        <w:autoSpaceDE w:val="0"/>
        <w:autoSpaceDN w:val="0"/>
        <w:bidi w:val="0"/>
        <w:adjustRightInd w:val="0"/>
        <w:snapToGrid/>
        <w:spacing w:line="400" w:lineRule="exact"/>
        <w:ind w:leftChars="0" w:firstLine="422" w:firstLineChars="200"/>
        <w:jc w:val="left"/>
        <w:textAlignment w:val="auto"/>
        <w:rPr>
          <w:rFonts w:hint="eastAsia" w:ascii="Times New Roman" w:hAnsi="Times New Roman" w:cs="Times New Roman" w:eastAsiaTheme="minorEastAsia"/>
          <w:b/>
          <w:bCs/>
          <w:color w:val="000000"/>
          <w:sz w:val="21"/>
          <w:szCs w:val="21"/>
          <w:lang w:val="en-US" w:eastAsia="zh-CN"/>
        </w:rPr>
      </w:pPr>
      <w:r>
        <w:rPr>
          <w:rFonts w:hint="eastAsia" w:ascii="Times New Roman" w:hAnsi="Times New Roman" w:cs="Times New Roman" w:eastAsiaTheme="minorEastAsia"/>
          <w:b/>
          <w:bCs/>
          <w:color w:val="000000"/>
          <w:sz w:val="21"/>
          <w:szCs w:val="21"/>
          <w:lang w:val="en-US" w:eastAsia="zh-CN"/>
        </w:rPr>
        <w:t>Supplementary Table S1. Administrative composition of the six urban agglomerations and their corresponding geographical divisions used in this study.</w:t>
      </w:r>
    </w:p>
    <w:tbl>
      <w:tblP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349"/>
        <w:gridCol w:w="1577"/>
        <w:gridCol w:w="2990"/>
        <w:gridCol w:w="1603"/>
      </w:tblGrid>
      <w:tr w14:paraId="6D7AF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394" w:type="pct"/>
            <w:tcBorders>
              <w:top w:val="single" w:color="000000" w:sz="12" w:space="0"/>
              <w:left w:val="nil"/>
              <w:bottom w:val="single" w:color="000000" w:sz="8" w:space="0"/>
              <w:right w:val="nil"/>
            </w:tcBorders>
            <w:shd w:val="clear"/>
            <w:vAlign w:val="center"/>
          </w:tcPr>
          <w:p w14:paraId="2FC53AF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Urban agglomeration</w:t>
            </w:r>
          </w:p>
        </w:tc>
        <w:tc>
          <w:tcPr>
            <w:tcW w:w="880" w:type="pct"/>
            <w:tcBorders>
              <w:top w:val="single" w:color="000000" w:sz="12" w:space="0"/>
              <w:left w:val="nil"/>
              <w:bottom w:val="single" w:color="000000" w:sz="8" w:space="0"/>
              <w:right w:val="nil"/>
            </w:tcBorders>
            <w:shd w:val="clear"/>
            <w:vAlign w:val="center"/>
          </w:tcPr>
          <w:p w14:paraId="410A907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Abbreviation</w:t>
            </w:r>
          </w:p>
        </w:tc>
        <w:tc>
          <w:tcPr>
            <w:tcW w:w="1789" w:type="pct"/>
            <w:tcBorders>
              <w:top w:val="single" w:color="000000" w:sz="12" w:space="0"/>
              <w:left w:val="nil"/>
              <w:bottom w:val="single" w:color="000000" w:sz="8" w:space="0"/>
              <w:right w:val="nil"/>
            </w:tcBorders>
            <w:shd w:val="clear"/>
            <w:vAlign w:val="center"/>
          </w:tcPr>
          <w:p w14:paraId="1BC816D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Provinces/Cities included</w:t>
            </w:r>
          </w:p>
        </w:tc>
        <w:tc>
          <w:tcPr>
            <w:tcW w:w="935" w:type="pct"/>
            <w:tcBorders>
              <w:top w:val="single" w:color="000000" w:sz="12" w:space="0"/>
              <w:left w:val="nil"/>
              <w:bottom w:val="single" w:color="000000" w:sz="8" w:space="0"/>
              <w:right w:val="nil"/>
            </w:tcBorders>
            <w:shd w:val="clear"/>
            <w:vAlign w:val="center"/>
          </w:tcPr>
          <w:p w14:paraId="7C4746A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Geographical division</w:t>
            </w:r>
          </w:p>
        </w:tc>
      </w:tr>
      <w:tr w14:paraId="51638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4" w:hRule="atLeast"/>
          <w:jc w:val="center"/>
        </w:trPr>
        <w:tc>
          <w:tcPr>
            <w:tcW w:w="1394" w:type="pct"/>
            <w:tcBorders>
              <w:top w:val="nil"/>
              <w:left w:val="nil"/>
              <w:bottom w:val="nil"/>
              <w:right w:val="nil"/>
            </w:tcBorders>
            <w:shd w:val="clear"/>
            <w:vAlign w:val="center"/>
          </w:tcPr>
          <w:p w14:paraId="0F5020E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Beijing-Tianjin-Hebei</w:t>
            </w:r>
          </w:p>
        </w:tc>
        <w:tc>
          <w:tcPr>
            <w:tcW w:w="880" w:type="pct"/>
            <w:tcBorders>
              <w:top w:val="nil"/>
              <w:left w:val="nil"/>
              <w:bottom w:val="nil"/>
              <w:right w:val="nil"/>
            </w:tcBorders>
            <w:shd w:val="clear"/>
            <w:vAlign w:val="center"/>
          </w:tcPr>
          <w:p w14:paraId="00EBBCF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BTH</w:t>
            </w:r>
          </w:p>
        </w:tc>
        <w:tc>
          <w:tcPr>
            <w:tcW w:w="1789" w:type="pct"/>
            <w:tcBorders>
              <w:top w:val="nil"/>
              <w:left w:val="nil"/>
              <w:bottom w:val="nil"/>
              <w:right w:val="nil"/>
            </w:tcBorders>
            <w:shd w:val="clear"/>
            <w:vAlign w:val="center"/>
          </w:tcPr>
          <w:p w14:paraId="1946677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Beijing, Tianjin, Hebei</w:t>
            </w:r>
          </w:p>
        </w:tc>
        <w:tc>
          <w:tcPr>
            <w:tcW w:w="935" w:type="pct"/>
            <w:tcBorders>
              <w:top w:val="nil"/>
              <w:left w:val="nil"/>
              <w:bottom w:val="nil"/>
              <w:right w:val="nil"/>
            </w:tcBorders>
            <w:shd w:val="clear"/>
            <w:vAlign w:val="center"/>
          </w:tcPr>
          <w:p w14:paraId="10898D0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NC</w:t>
            </w:r>
          </w:p>
        </w:tc>
      </w:tr>
      <w:tr w14:paraId="4CB31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 w:hRule="atLeast"/>
          <w:jc w:val="center"/>
        </w:trPr>
        <w:tc>
          <w:tcPr>
            <w:tcW w:w="1394" w:type="pct"/>
            <w:tcBorders>
              <w:top w:val="nil"/>
              <w:left w:val="nil"/>
              <w:bottom w:val="nil"/>
              <w:right w:val="nil"/>
            </w:tcBorders>
            <w:shd w:val="clear"/>
            <w:vAlign w:val="center"/>
          </w:tcPr>
          <w:p w14:paraId="08DB182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Central China</w:t>
            </w:r>
          </w:p>
        </w:tc>
        <w:tc>
          <w:tcPr>
            <w:tcW w:w="880" w:type="pct"/>
            <w:tcBorders>
              <w:top w:val="nil"/>
              <w:left w:val="nil"/>
              <w:bottom w:val="nil"/>
              <w:right w:val="nil"/>
            </w:tcBorders>
            <w:shd w:val="clear"/>
            <w:vAlign w:val="center"/>
          </w:tcPr>
          <w:p w14:paraId="16ED2F9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CEN</w:t>
            </w:r>
          </w:p>
        </w:tc>
        <w:tc>
          <w:tcPr>
            <w:tcW w:w="1789" w:type="pct"/>
            <w:tcBorders>
              <w:top w:val="nil"/>
              <w:left w:val="nil"/>
              <w:bottom w:val="nil"/>
              <w:right w:val="nil"/>
            </w:tcBorders>
            <w:shd w:val="clear"/>
            <w:vAlign w:val="center"/>
          </w:tcPr>
          <w:p w14:paraId="504AA2A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Henan, Hubei</w:t>
            </w:r>
          </w:p>
        </w:tc>
        <w:tc>
          <w:tcPr>
            <w:tcW w:w="935" w:type="pct"/>
            <w:tcBorders>
              <w:top w:val="nil"/>
              <w:left w:val="nil"/>
              <w:bottom w:val="nil"/>
              <w:right w:val="nil"/>
            </w:tcBorders>
            <w:shd w:val="clear"/>
            <w:vAlign w:val="center"/>
          </w:tcPr>
          <w:p w14:paraId="3585DD7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CC</w:t>
            </w:r>
          </w:p>
        </w:tc>
      </w:tr>
      <w:tr w14:paraId="51066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394" w:type="pct"/>
            <w:tcBorders>
              <w:top w:val="nil"/>
              <w:left w:val="nil"/>
              <w:bottom w:val="nil"/>
              <w:right w:val="nil"/>
            </w:tcBorders>
            <w:shd w:val="clear"/>
            <w:vAlign w:val="center"/>
          </w:tcPr>
          <w:p w14:paraId="30697B5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Eastern China</w:t>
            </w:r>
          </w:p>
        </w:tc>
        <w:tc>
          <w:tcPr>
            <w:tcW w:w="880" w:type="pct"/>
            <w:tcBorders>
              <w:top w:val="nil"/>
              <w:left w:val="nil"/>
              <w:bottom w:val="nil"/>
              <w:right w:val="nil"/>
            </w:tcBorders>
            <w:shd w:val="clear"/>
            <w:vAlign w:val="center"/>
          </w:tcPr>
          <w:p w14:paraId="64435C3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EST</w:t>
            </w:r>
          </w:p>
        </w:tc>
        <w:tc>
          <w:tcPr>
            <w:tcW w:w="1789" w:type="pct"/>
            <w:tcBorders>
              <w:top w:val="nil"/>
              <w:left w:val="nil"/>
              <w:bottom w:val="nil"/>
              <w:right w:val="nil"/>
            </w:tcBorders>
            <w:shd w:val="clear"/>
            <w:vAlign w:val="center"/>
          </w:tcPr>
          <w:p w14:paraId="0453D47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Shandong, Shanghai, Jiangsu, Anhui, Zhejiang</w:t>
            </w:r>
          </w:p>
        </w:tc>
        <w:tc>
          <w:tcPr>
            <w:tcW w:w="935" w:type="pct"/>
            <w:tcBorders>
              <w:top w:val="nil"/>
              <w:left w:val="nil"/>
              <w:bottom w:val="nil"/>
              <w:right w:val="nil"/>
            </w:tcBorders>
            <w:shd w:val="clear"/>
            <w:vAlign w:val="center"/>
          </w:tcPr>
          <w:p w14:paraId="1824C90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EC</w:t>
            </w:r>
          </w:p>
        </w:tc>
      </w:tr>
      <w:tr w14:paraId="11345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394" w:type="pct"/>
            <w:tcBorders>
              <w:top w:val="nil"/>
              <w:left w:val="nil"/>
              <w:bottom w:val="nil"/>
              <w:right w:val="nil"/>
            </w:tcBorders>
            <w:shd w:val="clear"/>
            <w:vAlign w:val="center"/>
          </w:tcPr>
          <w:p w14:paraId="2501C18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Northeast China Plain</w:t>
            </w:r>
          </w:p>
        </w:tc>
        <w:tc>
          <w:tcPr>
            <w:tcW w:w="880" w:type="pct"/>
            <w:tcBorders>
              <w:top w:val="nil"/>
              <w:left w:val="nil"/>
              <w:bottom w:val="nil"/>
              <w:right w:val="nil"/>
            </w:tcBorders>
            <w:shd w:val="clear"/>
            <w:vAlign w:val="center"/>
          </w:tcPr>
          <w:p w14:paraId="42166FC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NEP</w:t>
            </w:r>
          </w:p>
        </w:tc>
        <w:tc>
          <w:tcPr>
            <w:tcW w:w="1789" w:type="pct"/>
            <w:tcBorders>
              <w:top w:val="nil"/>
              <w:left w:val="nil"/>
              <w:bottom w:val="nil"/>
              <w:right w:val="nil"/>
            </w:tcBorders>
            <w:shd w:val="clear"/>
            <w:vAlign w:val="center"/>
          </w:tcPr>
          <w:p w14:paraId="6B5D2D7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Liaoning, Jilin</w:t>
            </w:r>
          </w:p>
        </w:tc>
        <w:tc>
          <w:tcPr>
            <w:tcW w:w="935" w:type="pct"/>
            <w:tcBorders>
              <w:top w:val="nil"/>
              <w:left w:val="nil"/>
              <w:bottom w:val="nil"/>
              <w:right w:val="nil"/>
            </w:tcBorders>
            <w:shd w:val="clear"/>
            <w:vAlign w:val="center"/>
          </w:tcPr>
          <w:p w14:paraId="360D60F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NE</w:t>
            </w:r>
          </w:p>
        </w:tc>
      </w:tr>
      <w:tr w14:paraId="7F8A3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394" w:type="pct"/>
            <w:tcBorders>
              <w:top w:val="nil"/>
              <w:left w:val="nil"/>
              <w:bottom w:val="nil"/>
              <w:right w:val="nil"/>
            </w:tcBorders>
            <w:shd w:val="clear"/>
            <w:vAlign w:val="center"/>
          </w:tcPr>
          <w:p w14:paraId="0BB4C9B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Pearl River Delta</w:t>
            </w:r>
          </w:p>
        </w:tc>
        <w:tc>
          <w:tcPr>
            <w:tcW w:w="880" w:type="pct"/>
            <w:tcBorders>
              <w:top w:val="nil"/>
              <w:left w:val="nil"/>
              <w:bottom w:val="nil"/>
              <w:right w:val="nil"/>
            </w:tcBorders>
            <w:shd w:val="clear"/>
            <w:vAlign w:val="center"/>
          </w:tcPr>
          <w:p w14:paraId="66C30DB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PRD</w:t>
            </w:r>
          </w:p>
        </w:tc>
        <w:tc>
          <w:tcPr>
            <w:tcW w:w="1789" w:type="pct"/>
            <w:tcBorders>
              <w:top w:val="nil"/>
              <w:left w:val="nil"/>
              <w:bottom w:val="nil"/>
              <w:right w:val="nil"/>
            </w:tcBorders>
            <w:shd w:val="clear"/>
            <w:vAlign w:val="center"/>
          </w:tcPr>
          <w:p w14:paraId="759F218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Guangzhou, Shenzhen, Zhuhai, Foshan, Dongguan, Zhongshan, Huizhou, Jiangmen, Zhaoqing</w:t>
            </w:r>
          </w:p>
        </w:tc>
        <w:tc>
          <w:tcPr>
            <w:tcW w:w="935" w:type="pct"/>
            <w:tcBorders>
              <w:top w:val="nil"/>
              <w:left w:val="nil"/>
              <w:bottom w:val="nil"/>
              <w:right w:val="nil"/>
            </w:tcBorders>
            <w:shd w:val="clear"/>
            <w:vAlign w:val="center"/>
          </w:tcPr>
          <w:p w14:paraId="6DD9923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SC</w:t>
            </w:r>
          </w:p>
        </w:tc>
      </w:tr>
      <w:tr w14:paraId="6B429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94" w:type="pct"/>
            <w:tcBorders>
              <w:top w:val="nil"/>
              <w:left w:val="nil"/>
              <w:bottom w:val="single" w:color="000000" w:sz="12" w:space="0"/>
              <w:right w:val="nil"/>
            </w:tcBorders>
            <w:shd w:val="clear"/>
            <w:vAlign w:val="center"/>
          </w:tcPr>
          <w:p w14:paraId="148B6DB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Sichuan Basin</w:t>
            </w:r>
          </w:p>
        </w:tc>
        <w:tc>
          <w:tcPr>
            <w:tcW w:w="880" w:type="pct"/>
            <w:tcBorders>
              <w:top w:val="nil"/>
              <w:left w:val="nil"/>
              <w:bottom w:val="single" w:color="000000" w:sz="12" w:space="0"/>
              <w:right w:val="nil"/>
            </w:tcBorders>
            <w:shd w:val="clear"/>
            <w:vAlign w:val="center"/>
          </w:tcPr>
          <w:p w14:paraId="357E1CF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SCB</w:t>
            </w:r>
          </w:p>
        </w:tc>
        <w:tc>
          <w:tcPr>
            <w:tcW w:w="1789" w:type="pct"/>
            <w:tcBorders>
              <w:top w:val="nil"/>
              <w:left w:val="nil"/>
              <w:bottom w:val="single" w:color="000000" w:sz="12" w:space="0"/>
              <w:right w:val="nil"/>
            </w:tcBorders>
            <w:shd w:val="clear"/>
            <w:vAlign w:val="center"/>
          </w:tcPr>
          <w:p w14:paraId="7690C1F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Chongqing, Chengdu, Deyang, Mianyang, Suining, Meishan, Ziyang, Neijiang, Zigong, Luzhou, Yibin, Nanchong, Guang'an, Dazhou, Bazhong, Ya'an, Guangyuan, Leshan</w:t>
            </w:r>
          </w:p>
        </w:tc>
        <w:tc>
          <w:tcPr>
            <w:tcW w:w="935" w:type="pct"/>
            <w:tcBorders>
              <w:top w:val="nil"/>
              <w:left w:val="nil"/>
              <w:bottom w:val="single" w:color="000000" w:sz="12" w:space="0"/>
              <w:right w:val="nil"/>
            </w:tcBorders>
            <w:shd w:val="clear"/>
            <w:vAlign w:val="center"/>
          </w:tcPr>
          <w:p w14:paraId="0D34F8E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SWC</w:t>
            </w:r>
          </w:p>
        </w:tc>
      </w:tr>
    </w:tbl>
    <w:p w14:paraId="3016A117">
      <w:pPr>
        <w:pStyle w:val="4"/>
        <w:keepNext w:val="0"/>
        <w:pageBreakBefore w:val="0"/>
        <w:widowControl/>
        <w:numPr>
          <w:ilvl w:val="0"/>
          <w:numId w:val="0"/>
        </w:numPr>
        <w:kinsoku/>
        <w:overflowPunct/>
        <w:topLinePunct w:val="0"/>
        <w:bidi w:val="0"/>
        <w:snapToGrid/>
        <w:spacing w:line="48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p>
    <w:p w14:paraId="4A557A8F">
      <w:pPr>
        <w:pStyle w:val="4"/>
        <w:keepNext w:val="0"/>
        <w:pageBreakBefore w:val="0"/>
        <w:widowControl/>
        <w:numPr>
          <w:ilvl w:val="0"/>
          <w:numId w:val="0"/>
        </w:numPr>
        <w:kinsoku/>
        <w:overflowPunct/>
        <w:topLinePunct w:val="0"/>
        <w:bidi w:val="0"/>
        <w:snapToGrid/>
        <w:spacing w:line="48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drawing>
          <wp:inline distT="0" distB="0" distL="114300" distR="114300">
            <wp:extent cx="5271770" cy="3805555"/>
            <wp:effectExtent l="0" t="0" r="11430" b="4445"/>
            <wp:docPr id="1" name="图片 1" descr="O3_cluster_intensity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O3_cluster_intensity_2010"/>
                    <pic:cNvPicPr>
                      <a:picLocks noChangeAspect="1"/>
                    </pic:cNvPicPr>
                  </pic:nvPicPr>
                  <pic:blipFill>
                    <a:blip r:embed="rId6"/>
                    <a:stretch>
                      <a:fillRect/>
                    </a:stretch>
                  </pic:blipFill>
                  <pic:spPr>
                    <a:xfrm>
                      <a:off x="0" y="0"/>
                      <a:ext cx="5271770" cy="3805555"/>
                    </a:xfrm>
                    <a:prstGeom prst="rect">
                      <a:avLst/>
                    </a:prstGeom>
                  </pic:spPr>
                </pic:pic>
              </a:graphicData>
            </a:graphic>
          </wp:inline>
        </w:drawing>
      </w:r>
    </w:p>
    <w:p w14:paraId="2ADD4A5F">
      <w:pPr>
        <w:pStyle w:val="4"/>
        <w:keepNext w:val="0"/>
        <w:keepLines w:val="0"/>
        <w:pageBreakBefore w:val="0"/>
        <w:widowControl/>
        <w:numPr>
          <w:ilvl w:val="0"/>
          <w:numId w:val="0"/>
        </w:numPr>
        <w:kinsoku/>
        <w:wordWrap/>
        <w:overflowPunct/>
        <w:topLinePunct w:val="0"/>
        <w:autoSpaceDE w:val="0"/>
        <w:autoSpaceDN w:val="0"/>
        <w:bidi w:val="0"/>
        <w:adjustRightInd w:val="0"/>
        <w:snapToGrid/>
        <w:spacing w:line="400" w:lineRule="exact"/>
        <w:ind w:leftChars="0" w:firstLine="422" w:firstLineChars="200"/>
        <w:jc w:val="left"/>
        <w:textAlignment w:val="auto"/>
        <w:rPr>
          <w:rFonts w:hint="default" w:ascii="Times New Roman" w:hAnsi="Times New Roman" w:cs="Times New Roman" w:eastAsiaTheme="minorEastAsia"/>
          <w:b w:val="0"/>
          <w:bCs w:val="0"/>
          <w:color w:val="000000"/>
          <w:sz w:val="21"/>
          <w:szCs w:val="21"/>
          <w:lang w:val="en-US" w:eastAsia="zh-CN"/>
        </w:rPr>
      </w:pPr>
      <w:r>
        <w:rPr>
          <w:rFonts w:hint="default" w:ascii="Times New Roman" w:hAnsi="Times New Roman" w:cs="Times New Roman" w:eastAsiaTheme="minorEastAsia"/>
          <w:b/>
          <w:bCs/>
          <w:color w:val="000000"/>
          <w:sz w:val="21"/>
          <w:szCs w:val="21"/>
          <w:lang w:val="en-US" w:eastAsia="zh-CN"/>
        </w:rPr>
        <w:t>Supplementary Figure S1. Local spatial clustering patterns of O</w:t>
      </w:r>
      <w:r>
        <w:rPr>
          <w:rFonts w:hint="eastAsia" w:cs="Times New Roman" w:eastAsiaTheme="minorEastAsia"/>
          <w:b/>
          <w:bCs/>
          <w:color w:val="000000"/>
          <w:sz w:val="21"/>
          <w:szCs w:val="21"/>
          <w:vertAlign w:val="subscript"/>
          <w:lang w:val="en-US" w:eastAsia="zh-CN"/>
        </w:rPr>
        <w:t>3</w:t>
      </w:r>
      <w:r>
        <w:rPr>
          <w:rFonts w:hint="default" w:ascii="Times New Roman" w:hAnsi="Times New Roman" w:cs="Times New Roman" w:eastAsiaTheme="minorEastAsia"/>
          <w:b/>
          <w:bCs/>
          <w:color w:val="000000"/>
          <w:sz w:val="21"/>
          <w:szCs w:val="21"/>
          <w:lang w:val="en-US" w:eastAsia="zh-CN"/>
        </w:rPr>
        <w:t xml:space="preserve"> concentrations in six major urban agglomerations in 2010.</w:t>
      </w:r>
      <w:r>
        <w:rPr>
          <w:rFonts w:hint="default" w:ascii="Times New Roman" w:hAnsi="Times New Roman" w:cs="Times New Roman" w:eastAsiaTheme="minorEastAsia"/>
          <w:b w:val="0"/>
          <w:bCs w:val="0"/>
          <w:color w:val="000000"/>
          <w:sz w:val="21"/>
          <w:szCs w:val="21"/>
          <w:lang w:val="en-US" w:eastAsia="zh-CN"/>
        </w:rPr>
        <w:t>High-High (HH) clusters are predominantly concentrated in the southern plains of BTH, the Yangtze River Delta core area within E</w:t>
      </w:r>
      <w:r>
        <w:rPr>
          <w:rFonts w:hint="eastAsia" w:cs="Times New Roman" w:eastAsiaTheme="minorEastAsia"/>
          <w:b w:val="0"/>
          <w:bCs w:val="0"/>
          <w:color w:val="000000"/>
          <w:sz w:val="21"/>
          <w:szCs w:val="21"/>
          <w:lang w:val="en-US" w:eastAsia="zh-CN"/>
        </w:rPr>
        <w:t>ST</w:t>
      </w:r>
      <w:r>
        <w:rPr>
          <w:rFonts w:hint="default" w:ascii="Times New Roman" w:hAnsi="Times New Roman" w:cs="Times New Roman" w:eastAsiaTheme="minorEastAsia"/>
          <w:b w:val="0"/>
          <w:bCs w:val="0"/>
          <w:color w:val="000000"/>
          <w:sz w:val="21"/>
          <w:szCs w:val="21"/>
          <w:lang w:val="en-US" w:eastAsia="zh-CN"/>
        </w:rPr>
        <w:t>, and the Guangzhou-Foshan metropolitan area in PRD. Low-Low (LL) clusters are primarily distributed in the western mountainous margins of SCB and the northern territories of N</w:t>
      </w:r>
      <w:r>
        <w:rPr>
          <w:rFonts w:hint="eastAsia" w:cs="Times New Roman" w:eastAsiaTheme="minorEastAsia"/>
          <w:b w:val="0"/>
          <w:bCs w:val="0"/>
          <w:color w:val="000000"/>
          <w:sz w:val="21"/>
          <w:szCs w:val="21"/>
          <w:lang w:val="en-US" w:eastAsia="zh-CN"/>
        </w:rPr>
        <w:t>EP</w:t>
      </w:r>
      <w:r>
        <w:rPr>
          <w:rFonts w:hint="default" w:ascii="Times New Roman" w:hAnsi="Times New Roman" w:cs="Times New Roman" w:eastAsiaTheme="minorEastAsia"/>
          <w:b w:val="0"/>
          <w:bCs w:val="0"/>
          <w:color w:val="000000"/>
          <w:sz w:val="21"/>
          <w:szCs w:val="21"/>
          <w:lang w:val="en-US" w:eastAsia="zh-CN"/>
        </w:rPr>
        <w:t>. HL and LH outliers occur only sporadically, occupying less than 5% of the total grid cells across most</w:t>
      </w:r>
      <w:r>
        <w:rPr>
          <w:rFonts w:hint="eastAsia" w:cs="Times New Roman" w:eastAsiaTheme="minorEastAsia"/>
          <w:b w:val="0"/>
          <w:bCs w:val="0"/>
          <w:color w:val="000000"/>
          <w:sz w:val="21"/>
          <w:szCs w:val="21"/>
          <w:lang w:val="en-US" w:eastAsia="zh-CN"/>
        </w:rPr>
        <w:t xml:space="preserve"> </w:t>
      </w:r>
      <w:r>
        <w:rPr>
          <w:rFonts w:hint="default" w:ascii="Times New Roman" w:hAnsi="Times New Roman" w:cs="Times New Roman" w:eastAsiaTheme="minorEastAsia"/>
          <w:b w:val="0"/>
          <w:bCs w:val="0"/>
          <w:color w:val="000000"/>
          <w:sz w:val="21"/>
          <w:szCs w:val="21"/>
          <w:lang w:val="en-US" w:eastAsia="zh-CN"/>
        </w:rPr>
        <w:t>agglomerations.</w:t>
      </w:r>
    </w:p>
    <w:p w14:paraId="15F53E74">
      <w:pPr>
        <w:pStyle w:val="4"/>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drawing>
          <wp:inline distT="0" distB="0" distL="114300" distR="114300">
            <wp:extent cx="5271770" cy="3805555"/>
            <wp:effectExtent l="0" t="0" r="11430" b="4445"/>
            <wp:docPr id="7" name="图片 7" descr="O3_cluster_intensity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O3_cluster_intensity_2020"/>
                    <pic:cNvPicPr>
                      <a:picLocks noChangeAspect="1"/>
                    </pic:cNvPicPr>
                  </pic:nvPicPr>
                  <pic:blipFill>
                    <a:blip r:embed="rId7"/>
                    <a:stretch>
                      <a:fillRect/>
                    </a:stretch>
                  </pic:blipFill>
                  <pic:spPr>
                    <a:xfrm>
                      <a:off x="0" y="0"/>
                      <a:ext cx="5271770" cy="3805555"/>
                    </a:xfrm>
                    <a:prstGeom prst="rect">
                      <a:avLst/>
                    </a:prstGeom>
                  </pic:spPr>
                </pic:pic>
              </a:graphicData>
            </a:graphic>
          </wp:inline>
        </w:drawing>
      </w:r>
    </w:p>
    <w:p w14:paraId="7320E94F">
      <w:pPr>
        <w:pStyle w:val="4"/>
        <w:keepNext w:val="0"/>
        <w:keepLines w:val="0"/>
        <w:pageBreakBefore w:val="0"/>
        <w:widowControl/>
        <w:numPr>
          <w:ilvl w:val="0"/>
          <w:numId w:val="0"/>
        </w:numPr>
        <w:kinsoku/>
        <w:wordWrap/>
        <w:overflowPunct/>
        <w:topLinePunct w:val="0"/>
        <w:autoSpaceDE w:val="0"/>
        <w:autoSpaceDN w:val="0"/>
        <w:bidi w:val="0"/>
        <w:adjustRightInd w:val="0"/>
        <w:snapToGrid/>
        <w:spacing w:line="400" w:lineRule="exact"/>
        <w:ind w:leftChars="0" w:firstLine="422" w:firstLineChars="200"/>
        <w:jc w:val="left"/>
        <w:textAlignment w:val="auto"/>
        <w:rPr>
          <w:rFonts w:hint="default" w:ascii="Times New Roman" w:hAnsi="Times New Roman" w:cs="Times New Roman" w:eastAsiaTheme="minorEastAsia"/>
          <w:b w:val="0"/>
          <w:bCs w:val="0"/>
          <w:color w:val="000000"/>
          <w:sz w:val="21"/>
          <w:szCs w:val="21"/>
          <w:lang w:val="en-US" w:eastAsia="zh-CN"/>
        </w:rPr>
      </w:pPr>
      <w:r>
        <w:rPr>
          <w:rFonts w:hint="default" w:ascii="Times New Roman" w:hAnsi="Times New Roman" w:cs="Times New Roman" w:eastAsiaTheme="minorEastAsia"/>
          <w:b/>
          <w:bCs/>
          <w:color w:val="000000"/>
          <w:sz w:val="21"/>
          <w:szCs w:val="21"/>
          <w:lang w:val="en-US" w:eastAsia="zh-CN"/>
        </w:rPr>
        <w:t>Supplementary Figure S2. Local spatial clustering patterns of O</w:t>
      </w:r>
      <w:r>
        <w:rPr>
          <w:rFonts w:hint="eastAsia" w:cs="Times New Roman" w:eastAsiaTheme="minorEastAsia"/>
          <w:b/>
          <w:bCs/>
          <w:color w:val="000000"/>
          <w:sz w:val="21"/>
          <w:szCs w:val="21"/>
          <w:vertAlign w:val="subscript"/>
          <w:lang w:val="en-US" w:eastAsia="zh-CN"/>
        </w:rPr>
        <w:t>3</w:t>
      </w:r>
      <w:r>
        <w:rPr>
          <w:rFonts w:hint="default" w:ascii="Times New Roman" w:hAnsi="Times New Roman" w:cs="Times New Roman" w:eastAsiaTheme="minorEastAsia"/>
          <w:b/>
          <w:bCs/>
          <w:color w:val="000000"/>
          <w:sz w:val="21"/>
          <w:szCs w:val="21"/>
          <w:lang w:val="en-US" w:eastAsia="zh-CN"/>
        </w:rPr>
        <w:t xml:space="preserve"> concentrations in six major urban agglomerations in 2020. </w:t>
      </w:r>
      <w:r>
        <w:rPr>
          <w:rFonts w:hint="default" w:ascii="Times New Roman" w:hAnsi="Times New Roman" w:cs="Times New Roman" w:eastAsiaTheme="minorEastAsia"/>
          <w:b w:val="0"/>
          <w:bCs w:val="0"/>
          <w:color w:val="000000"/>
          <w:sz w:val="21"/>
          <w:szCs w:val="21"/>
          <w:lang w:val="en-US" w:eastAsia="zh-CN"/>
        </w:rPr>
        <w:t>HH clusters in C</w:t>
      </w:r>
      <w:r>
        <w:rPr>
          <w:rFonts w:hint="eastAsia" w:cs="Times New Roman" w:eastAsiaTheme="minorEastAsia"/>
          <w:b w:val="0"/>
          <w:bCs w:val="0"/>
          <w:color w:val="000000"/>
          <w:sz w:val="21"/>
          <w:szCs w:val="21"/>
          <w:lang w:val="en-US" w:eastAsia="zh-CN"/>
        </w:rPr>
        <w:t>EN</w:t>
      </w:r>
      <w:r>
        <w:rPr>
          <w:rFonts w:hint="default" w:ascii="Times New Roman" w:hAnsi="Times New Roman" w:cs="Times New Roman" w:eastAsiaTheme="minorEastAsia"/>
          <w:b w:val="0"/>
          <w:bCs w:val="0"/>
          <w:color w:val="000000"/>
          <w:sz w:val="21"/>
          <w:szCs w:val="21"/>
          <w:lang w:val="en-US" w:eastAsia="zh-CN"/>
        </w:rPr>
        <w:t xml:space="preserve"> form a continuous high-pollution corridor extending from Zhengzhou to Wuhan. HH clusters in E</w:t>
      </w:r>
      <w:r>
        <w:rPr>
          <w:rFonts w:hint="eastAsia" w:cs="Times New Roman" w:eastAsiaTheme="minorEastAsia"/>
          <w:b w:val="0"/>
          <w:bCs w:val="0"/>
          <w:color w:val="000000"/>
          <w:sz w:val="21"/>
          <w:szCs w:val="21"/>
          <w:lang w:val="en-US" w:eastAsia="zh-CN"/>
        </w:rPr>
        <w:t>ST</w:t>
      </w:r>
      <w:r>
        <w:rPr>
          <w:rFonts w:hint="default" w:ascii="Times New Roman" w:hAnsi="Times New Roman" w:cs="Times New Roman" w:eastAsiaTheme="minorEastAsia"/>
          <w:b w:val="0"/>
          <w:bCs w:val="0"/>
          <w:color w:val="000000"/>
          <w:sz w:val="21"/>
          <w:szCs w:val="21"/>
          <w:lang w:val="en-US" w:eastAsia="zh-CN"/>
        </w:rPr>
        <w:t xml:space="preserve"> extend across southern Shandong and northern Jiangsu. HH clusters in SCB are consolidated along the basin floor, while LL clusters persist along the western and eastern basin margins. The proportion of HH clusters exceeds 50% in most agglomerations.</w:t>
      </w:r>
    </w:p>
    <w:p w14:paraId="11D1063F">
      <w:pPr>
        <w:pStyle w:val="4"/>
        <w:keepNext w:val="0"/>
        <w:pageBreakBefore w:val="0"/>
        <w:widowControl/>
        <w:numPr>
          <w:ilvl w:val="0"/>
          <w:numId w:val="0"/>
        </w:numPr>
        <w:kinsoku/>
        <w:overflowPunct/>
        <w:topLinePunct w:val="0"/>
        <w:bidi w:val="0"/>
        <w:snapToGrid/>
        <w:spacing w:line="48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drawing>
          <wp:inline distT="0" distB="0" distL="114300" distR="114300">
            <wp:extent cx="5262245" cy="2367915"/>
            <wp:effectExtent l="0" t="0" r="8255" b="6985"/>
            <wp:docPr id="9" name="图片 9" descr="Tmax_sensitivity_panel_Huazhong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Tmax_sensitivity_panel_Huazhong_2010_2020"/>
                    <pic:cNvPicPr>
                      <a:picLocks noChangeAspect="1"/>
                    </pic:cNvPicPr>
                  </pic:nvPicPr>
                  <pic:blipFill>
                    <a:blip r:embed="rId8"/>
                    <a:stretch>
                      <a:fillRect/>
                    </a:stretch>
                  </pic:blipFill>
                  <pic:spPr>
                    <a:xfrm>
                      <a:off x="0" y="0"/>
                      <a:ext cx="5262245" cy="2367915"/>
                    </a:xfrm>
                    <a:prstGeom prst="rect">
                      <a:avLst/>
                    </a:prstGeom>
                  </pic:spPr>
                </pic:pic>
              </a:graphicData>
            </a:graphic>
          </wp:inline>
        </w:drawing>
      </w:r>
    </w:p>
    <w:p w14:paraId="16E2FB0E">
      <w:pPr>
        <w:pStyle w:val="4"/>
        <w:keepNext w:val="0"/>
        <w:keepLines w:val="0"/>
        <w:pageBreakBefore w:val="0"/>
        <w:widowControl/>
        <w:numPr>
          <w:ilvl w:val="0"/>
          <w:numId w:val="0"/>
        </w:numPr>
        <w:kinsoku/>
        <w:wordWrap w:val="0"/>
        <w:overflowPunct/>
        <w:topLinePunct w:val="0"/>
        <w:autoSpaceDE w:val="0"/>
        <w:autoSpaceDN w:val="0"/>
        <w:bidi w:val="0"/>
        <w:adjustRightInd w:val="0"/>
        <w:snapToGrid/>
        <w:spacing w:line="400" w:lineRule="exact"/>
        <w:ind w:leftChars="0" w:firstLine="422" w:firstLineChars="200"/>
        <w:jc w:val="left"/>
        <w:textAlignment w:val="auto"/>
        <w:rPr>
          <w:rFonts w:hint="eastAsia" w:ascii="Times New Roman" w:hAnsi="Times New Roman" w:cs="Times New Roman" w:eastAsiaTheme="minorEastAsia"/>
          <w:b w:val="0"/>
          <w:bCs w:val="0"/>
          <w:color w:val="000000"/>
          <w:sz w:val="21"/>
          <w:szCs w:val="21"/>
          <w:lang w:val="en-US" w:eastAsia="zh-CN"/>
        </w:rPr>
      </w:pPr>
      <w:r>
        <w:rPr>
          <w:rFonts w:hint="default" w:ascii="Times New Roman" w:hAnsi="Times New Roman" w:cs="Times New Roman" w:eastAsiaTheme="minorEastAsia"/>
          <w:b/>
          <w:bCs/>
          <w:color w:val="000000"/>
          <w:sz w:val="21"/>
          <w:szCs w:val="21"/>
          <w:lang w:val="en-US" w:eastAsia="zh-CN"/>
        </w:rPr>
        <w:t xml:space="preserve">Supplementary Figure S3. Spatial distribution of </w:t>
      </w:r>
      <w:r>
        <w:rPr>
          <w:rFonts w:hint="eastAsia" w:cs="Times New Roman" w:eastAsiaTheme="minorEastAsia"/>
          <w:b/>
          <w:bCs/>
          <w:color w:val="000000"/>
          <w:sz w:val="21"/>
          <w:szCs w:val="21"/>
          <w:lang w:val="en-US" w:eastAsia="zh-CN"/>
        </w:rPr>
        <w:t>Tmax</w:t>
      </w:r>
      <w:r>
        <w:rPr>
          <w:rFonts w:hint="default" w:ascii="Times New Roman" w:hAnsi="Times New Roman" w:cs="Times New Roman" w:eastAsiaTheme="minorEastAsia"/>
          <w:b/>
          <w:bCs/>
          <w:color w:val="000000"/>
          <w:sz w:val="21"/>
          <w:szCs w:val="21"/>
          <w:lang w:val="en-US" w:eastAsia="zh-CN"/>
        </w:rPr>
        <w:t xml:space="preserve"> sensitivity coefficients for ozone in Central China (</w:t>
      </w:r>
      <w:r>
        <w:rPr>
          <w:rFonts w:hint="eastAsia" w:cs="Times New Roman" w:eastAsiaTheme="minorEastAsia"/>
          <w:b/>
          <w:bCs/>
          <w:color w:val="000000"/>
          <w:sz w:val="21"/>
          <w:szCs w:val="21"/>
          <w:lang w:val="en-US" w:eastAsia="zh-CN"/>
        </w:rPr>
        <w:t>CEN</w:t>
      </w:r>
      <w:r>
        <w:rPr>
          <w:rFonts w:hint="default" w:ascii="Times New Roman" w:hAnsi="Times New Roman" w:cs="Times New Roman" w:eastAsiaTheme="minorEastAsia"/>
          <w:b/>
          <w:bCs/>
          <w:color w:val="000000"/>
          <w:sz w:val="21"/>
          <w:szCs w:val="21"/>
          <w:lang w:val="en-US" w:eastAsia="zh-CN"/>
        </w:rPr>
        <w:t>) in 2010 and 2020.</w:t>
      </w:r>
      <w:r>
        <w:rPr>
          <w:rFonts w:hint="eastAsia" w:ascii="Times New Roman" w:hAnsi="Times New Roman" w:cs="Times New Roman" w:eastAsiaTheme="minorEastAsia"/>
          <w:b w:val="0"/>
          <w:bCs w:val="0"/>
          <w:color w:val="000000"/>
          <w:sz w:val="21"/>
          <w:szCs w:val="21"/>
          <w:lang w:val="en-US" w:eastAsia="zh-CN"/>
        </w:rPr>
        <w:t xml:space="preserve"> The regional average sensitivity increases from 2.59 in 2010 to 3.60 in 2020. High-sensitivity zones (coefficients exceeding 3.0)</w:t>
      </w:r>
    </w:p>
    <w:p w14:paraId="48FF4EFE">
      <w:pPr>
        <w:pStyle w:val="4"/>
        <w:keepNext w:val="0"/>
        <w:keepLines w:val="0"/>
        <w:pageBreakBefore w:val="0"/>
        <w:widowControl/>
        <w:numPr>
          <w:ilvl w:val="0"/>
          <w:numId w:val="0"/>
        </w:numPr>
        <w:kinsoku/>
        <w:wordWrap w:val="0"/>
        <w:overflowPunct/>
        <w:topLinePunct w:val="0"/>
        <w:autoSpaceDE w:val="0"/>
        <w:autoSpaceDN w:val="0"/>
        <w:bidi w:val="0"/>
        <w:adjustRightInd w:val="0"/>
        <w:snapToGrid/>
        <w:spacing w:line="400" w:lineRule="exact"/>
        <w:jc w:val="left"/>
        <w:textAlignment w:val="auto"/>
        <w:rPr>
          <w:rFonts w:hint="eastAsia" w:ascii="Times New Roman" w:hAnsi="Times New Roman" w:cs="Times New Roman" w:eastAsiaTheme="minorEastAsia"/>
          <w:b w:val="0"/>
          <w:bCs w:val="0"/>
          <w:color w:val="000000"/>
          <w:sz w:val="21"/>
          <w:szCs w:val="21"/>
          <w:lang w:val="en-US" w:eastAsia="zh-CN"/>
        </w:rPr>
      </w:pPr>
      <w:r>
        <w:rPr>
          <w:rFonts w:hint="eastAsia" w:ascii="Times New Roman" w:hAnsi="Times New Roman" w:cs="Times New Roman" w:eastAsiaTheme="minorEastAsia"/>
          <w:b w:val="0"/>
          <w:bCs w:val="0"/>
          <w:color w:val="000000"/>
          <w:sz w:val="21"/>
          <w:szCs w:val="21"/>
          <w:lang w:val="en-US" w:eastAsia="zh-CN"/>
        </w:rPr>
        <w:t>are concentrated around the Zhengzhou metropolitan area and northern Henan in 2010. By 2020, high-sensitivity zones expand to encompass the Zhengzhou</w:t>
      </w:r>
      <w:r>
        <w:rPr>
          <w:rFonts w:hint="eastAsia" w:cs="Times New Roman" w:eastAsiaTheme="minorEastAsia"/>
          <w:b w:val="0"/>
          <w:bCs w:val="0"/>
          <w:color w:val="000000"/>
          <w:sz w:val="21"/>
          <w:szCs w:val="21"/>
          <w:lang w:val="en-US" w:eastAsia="zh-CN"/>
        </w:rPr>
        <w:t>-</w:t>
      </w:r>
      <w:r>
        <w:rPr>
          <w:rFonts w:hint="eastAsia" w:ascii="Times New Roman" w:hAnsi="Times New Roman" w:cs="Times New Roman" w:eastAsiaTheme="minorEastAsia"/>
          <w:b w:val="0"/>
          <w:bCs w:val="0"/>
          <w:color w:val="000000"/>
          <w:sz w:val="21"/>
          <w:szCs w:val="21"/>
          <w:lang w:val="en-US" w:eastAsia="zh-CN"/>
        </w:rPr>
        <w:t xml:space="preserve">Kaifeng urban corridor, the Wuhan metropolitan area, and most of the North China Plain within </w:t>
      </w:r>
      <w:r>
        <w:rPr>
          <w:rFonts w:hint="eastAsia" w:cs="Times New Roman" w:eastAsiaTheme="minorEastAsia"/>
          <w:b w:val="0"/>
          <w:bCs w:val="0"/>
          <w:color w:val="000000"/>
          <w:sz w:val="21"/>
          <w:szCs w:val="21"/>
          <w:lang w:val="en-US" w:eastAsia="zh-CN"/>
        </w:rPr>
        <w:t>CEN</w:t>
      </w:r>
      <w:r>
        <w:rPr>
          <w:rFonts w:hint="eastAsia" w:ascii="Times New Roman" w:hAnsi="Times New Roman" w:cs="Times New Roman" w:eastAsiaTheme="minorEastAsia"/>
          <w:b w:val="0"/>
          <w:bCs w:val="0"/>
          <w:color w:val="000000"/>
          <w:sz w:val="21"/>
          <w:szCs w:val="21"/>
          <w:lang w:val="en-US" w:eastAsia="zh-CN"/>
        </w:rPr>
        <w:t xml:space="preserve">. Western </w:t>
      </w:r>
    </w:p>
    <w:p w14:paraId="22D77536">
      <w:pPr>
        <w:pStyle w:val="4"/>
        <w:keepNext w:val="0"/>
        <w:keepLines w:val="0"/>
        <w:pageBreakBefore w:val="0"/>
        <w:widowControl/>
        <w:numPr>
          <w:ilvl w:val="0"/>
          <w:numId w:val="0"/>
        </w:numPr>
        <w:kinsoku/>
        <w:wordWrap w:val="0"/>
        <w:overflowPunct/>
        <w:topLinePunct w:val="0"/>
        <w:autoSpaceDE w:val="0"/>
        <w:autoSpaceDN w:val="0"/>
        <w:bidi w:val="0"/>
        <w:adjustRightInd w:val="0"/>
        <w:snapToGrid/>
        <w:spacing w:line="400" w:lineRule="exact"/>
        <w:jc w:val="left"/>
        <w:textAlignment w:val="auto"/>
        <w:rPr>
          <w:rFonts w:hint="eastAsia" w:ascii="Times New Roman" w:hAnsi="Times New Roman" w:cs="Times New Roman" w:eastAsiaTheme="minorEastAsia"/>
          <w:b w:val="0"/>
          <w:bCs w:val="0"/>
          <w:color w:val="000000"/>
          <w:sz w:val="21"/>
          <w:szCs w:val="21"/>
          <w:lang w:val="en-US" w:eastAsia="zh-CN"/>
        </w:rPr>
      </w:pPr>
      <w:r>
        <w:rPr>
          <w:rFonts w:hint="eastAsia" w:ascii="Times New Roman" w:hAnsi="Times New Roman" w:cs="Times New Roman" w:eastAsiaTheme="minorEastAsia"/>
          <w:b w:val="0"/>
          <w:bCs w:val="0"/>
          <w:color w:val="000000"/>
          <w:sz w:val="21"/>
          <w:szCs w:val="21"/>
          <w:lang w:val="en-US" w:eastAsia="zh-CN"/>
        </w:rPr>
        <w:t xml:space="preserve">Hubei and the southwestern mountainous areas consistently exhibit lower sensitivity, with </w:t>
      </w:r>
    </w:p>
    <w:p w14:paraId="57818C7A">
      <w:pPr>
        <w:pStyle w:val="4"/>
        <w:keepNext w:val="0"/>
        <w:keepLines w:val="0"/>
        <w:pageBreakBefore w:val="0"/>
        <w:widowControl/>
        <w:numPr>
          <w:ilvl w:val="0"/>
          <w:numId w:val="0"/>
        </w:numPr>
        <w:kinsoku/>
        <w:wordWrap w:val="0"/>
        <w:overflowPunct/>
        <w:topLinePunct w:val="0"/>
        <w:autoSpaceDE w:val="0"/>
        <w:autoSpaceDN w:val="0"/>
        <w:bidi w:val="0"/>
        <w:adjustRightInd w:val="0"/>
        <w:snapToGrid/>
        <w:spacing w:line="400" w:lineRule="exact"/>
        <w:jc w:val="left"/>
        <w:textAlignment w:val="auto"/>
        <w:rPr>
          <w:rFonts w:hint="eastAsia" w:ascii="Times New Roman" w:hAnsi="Times New Roman" w:cs="Times New Roman" w:eastAsiaTheme="minorEastAsia"/>
          <w:b w:val="0"/>
          <w:bCs w:val="0"/>
          <w:color w:val="000000"/>
          <w:sz w:val="21"/>
          <w:szCs w:val="21"/>
          <w:lang w:val="en-US" w:eastAsia="zh-CN"/>
        </w:rPr>
      </w:pPr>
      <w:r>
        <w:rPr>
          <w:rFonts w:hint="eastAsia" w:ascii="Times New Roman" w:hAnsi="Times New Roman" w:cs="Times New Roman" w:eastAsiaTheme="minorEastAsia"/>
          <w:b w:val="0"/>
          <w:bCs w:val="0"/>
          <w:color w:val="000000"/>
          <w:sz w:val="21"/>
          <w:szCs w:val="21"/>
          <w:lang w:val="en-US" w:eastAsia="zh-CN"/>
        </w:rPr>
        <w:t>coefficients below 2.0.</w:t>
      </w:r>
    </w:p>
    <w:p w14:paraId="1B60D0E7">
      <w:pPr>
        <w:pStyle w:val="4"/>
        <w:keepNext w:val="0"/>
        <w:keepLines w:val="0"/>
        <w:pageBreakBefore w:val="0"/>
        <w:widowControl/>
        <w:numPr>
          <w:ilvl w:val="0"/>
          <w:numId w:val="0"/>
        </w:numPr>
        <w:kinsoku/>
        <w:wordWrap w:val="0"/>
        <w:overflowPunct/>
        <w:topLinePunct w:val="0"/>
        <w:autoSpaceDE w:val="0"/>
        <w:autoSpaceDN w:val="0"/>
        <w:bidi w:val="0"/>
        <w:adjustRightInd w:val="0"/>
        <w:snapToGrid/>
        <w:spacing w:line="48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drawing>
          <wp:inline distT="0" distB="0" distL="114300" distR="114300">
            <wp:extent cx="5273040" cy="2176145"/>
            <wp:effectExtent l="0" t="0" r="10160" b="8255"/>
            <wp:docPr id="11" name="图片 11" descr="Tmax_sensitivity_panel_DongBei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Tmax_sensitivity_panel_DongBei_2010_2020"/>
                    <pic:cNvPicPr>
                      <a:picLocks noChangeAspect="1"/>
                    </pic:cNvPicPr>
                  </pic:nvPicPr>
                  <pic:blipFill>
                    <a:blip r:embed="rId9"/>
                    <a:stretch>
                      <a:fillRect/>
                    </a:stretch>
                  </pic:blipFill>
                  <pic:spPr>
                    <a:xfrm>
                      <a:off x="0" y="0"/>
                      <a:ext cx="5273040" cy="2176145"/>
                    </a:xfrm>
                    <a:prstGeom prst="rect">
                      <a:avLst/>
                    </a:prstGeom>
                  </pic:spPr>
                </pic:pic>
              </a:graphicData>
            </a:graphic>
          </wp:inline>
        </w:drawing>
      </w:r>
    </w:p>
    <w:p w14:paraId="2A0563D8">
      <w:pPr>
        <w:pStyle w:val="4"/>
        <w:keepNext w:val="0"/>
        <w:keepLines w:val="0"/>
        <w:pageBreakBefore w:val="0"/>
        <w:widowControl/>
        <w:numPr>
          <w:ilvl w:val="0"/>
          <w:numId w:val="0"/>
        </w:numPr>
        <w:kinsoku/>
        <w:wordWrap/>
        <w:overflowPunct/>
        <w:topLinePunct w:val="0"/>
        <w:autoSpaceDE w:val="0"/>
        <w:autoSpaceDN w:val="0"/>
        <w:bidi w:val="0"/>
        <w:adjustRightInd w:val="0"/>
        <w:snapToGrid/>
        <w:spacing w:line="400" w:lineRule="exact"/>
        <w:ind w:leftChars="0" w:firstLine="422" w:firstLineChars="200"/>
        <w:jc w:val="left"/>
        <w:textAlignment w:val="auto"/>
        <w:outlineLvl w:val="9"/>
        <w:rPr>
          <w:rFonts w:hint="default" w:ascii="Times New Roman" w:hAnsi="Times New Roman" w:eastAsia="Segoe UI" w:cs="Times New Roman"/>
          <w:b w:val="0"/>
          <w:bCs w:val="0"/>
          <w:i w:val="0"/>
          <w:iCs w:val="0"/>
          <w:caps w:val="0"/>
          <w:color w:val="0F1115"/>
          <w:spacing w:val="0"/>
          <w:sz w:val="21"/>
          <w:szCs w:val="21"/>
          <w:shd w:val="clear" w:fill="FFFFFF"/>
        </w:rPr>
      </w:pPr>
      <w:r>
        <w:rPr>
          <w:rFonts w:hint="eastAsia" w:ascii="Times New Roman" w:hAnsi="Times New Roman" w:cs="Times New Roman" w:eastAsiaTheme="minorEastAsia"/>
          <w:b/>
          <w:bCs/>
          <w:color w:val="000000"/>
          <w:sz w:val="21"/>
          <w:szCs w:val="21"/>
          <w:lang w:val="en-US" w:eastAsia="zh-CN"/>
        </w:rPr>
        <w:t xml:space="preserve">Supplementary Figure S4. Spatial distribution of </w:t>
      </w:r>
      <w:r>
        <w:rPr>
          <w:rFonts w:hint="eastAsia" w:cs="Times New Roman" w:eastAsiaTheme="minorEastAsia"/>
          <w:b/>
          <w:bCs/>
          <w:color w:val="000000"/>
          <w:sz w:val="21"/>
          <w:szCs w:val="21"/>
          <w:lang w:val="en-US" w:eastAsia="zh-CN"/>
        </w:rPr>
        <w:t>Tmax</w:t>
      </w:r>
      <w:r>
        <w:rPr>
          <w:rFonts w:hint="eastAsia" w:ascii="Times New Roman" w:hAnsi="Times New Roman" w:cs="Times New Roman" w:eastAsiaTheme="minorEastAsia"/>
          <w:b/>
          <w:bCs/>
          <w:color w:val="000000"/>
          <w:sz w:val="21"/>
          <w:szCs w:val="21"/>
          <w:lang w:val="en-US" w:eastAsia="zh-CN"/>
        </w:rPr>
        <w:t xml:space="preserve"> sensitivity coefficients for ozone in Northeast China Plain (N</w:t>
      </w:r>
      <w:r>
        <w:rPr>
          <w:rFonts w:hint="eastAsia" w:cs="Times New Roman" w:eastAsiaTheme="minorEastAsia"/>
          <w:b/>
          <w:bCs/>
          <w:color w:val="000000"/>
          <w:sz w:val="21"/>
          <w:szCs w:val="21"/>
          <w:lang w:val="en-US" w:eastAsia="zh-CN"/>
        </w:rPr>
        <w:t>EP</w:t>
      </w:r>
      <w:r>
        <w:rPr>
          <w:rFonts w:hint="eastAsia" w:ascii="Times New Roman" w:hAnsi="Times New Roman" w:cs="Times New Roman" w:eastAsiaTheme="minorEastAsia"/>
          <w:b/>
          <w:bCs/>
          <w:color w:val="000000"/>
          <w:sz w:val="21"/>
          <w:szCs w:val="21"/>
          <w:lang w:val="en-US" w:eastAsia="zh-CN"/>
        </w:rPr>
        <w:t xml:space="preserve">) in 2010 and 2020. </w:t>
      </w:r>
      <w:r>
        <w:rPr>
          <w:rFonts w:hint="default" w:ascii="Times New Roman" w:hAnsi="Times New Roman" w:eastAsia="Segoe UI" w:cs="Times New Roman"/>
          <w:b w:val="0"/>
          <w:bCs w:val="0"/>
          <w:i w:val="0"/>
          <w:iCs w:val="0"/>
          <w:caps w:val="0"/>
          <w:color w:val="0F1115"/>
          <w:spacing w:val="0"/>
          <w:sz w:val="21"/>
          <w:szCs w:val="21"/>
          <w:shd w:val="clear" w:fill="FFFFFF"/>
        </w:rPr>
        <w:t>The regional average sensitivity decreases from 1.23 in 2010 to 0.84 in 2020. In 2010, high-sensitivity zones (coefficients exceeding 1.5) are mainly distributed in the central Liaoning urban belt, including Shenyang, Anshan, and the coastal areas around Dalian. By 2020, these zones contract considerably, with only southwestern Liaoning retaining relatively elevated sensitivity. Most grid cells in Jilin and Heilongjiang provinces exhibit coefficients below 0.5.</w:t>
      </w:r>
    </w:p>
    <w:p w14:paraId="6243F2B5">
      <w:pPr>
        <w:pStyle w:val="4"/>
        <w:keepNext w:val="0"/>
        <w:keepLines w:val="0"/>
        <w:pageBreakBefore w:val="0"/>
        <w:widowControl/>
        <w:numPr>
          <w:ilvl w:val="0"/>
          <w:numId w:val="0"/>
        </w:numPr>
        <w:kinsoku/>
        <w:wordWrap/>
        <w:overflowPunct/>
        <w:topLinePunct w:val="0"/>
        <w:autoSpaceDE w:val="0"/>
        <w:autoSpaceDN w:val="0"/>
        <w:bidi w:val="0"/>
        <w:adjustRightInd w:val="0"/>
        <w:snapToGrid/>
        <w:spacing w:line="48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drawing>
          <wp:inline distT="0" distB="0" distL="114300" distR="114300">
            <wp:extent cx="5260975" cy="2181860"/>
            <wp:effectExtent l="0" t="0" r="9525" b="2540"/>
            <wp:docPr id="12" name="图片 12" descr="Tmax_sensitivity_panel_PRD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Tmax_sensitivity_panel_PRD_2010_2020"/>
                    <pic:cNvPicPr>
                      <a:picLocks noChangeAspect="1"/>
                    </pic:cNvPicPr>
                  </pic:nvPicPr>
                  <pic:blipFill>
                    <a:blip r:embed="rId10"/>
                    <a:stretch>
                      <a:fillRect/>
                    </a:stretch>
                  </pic:blipFill>
                  <pic:spPr>
                    <a:xfrm>
                      <a:off x="0" y="0"/>
                      <a:ext cx="5260975" cy="2181860"/>
                    </a:xfrm>
                    <a:prstGeom prst="rect">
                      <a:avLst/>
                    </a:prstGeom>
                  </pic:spPr>
                </pic:pic>
              </a:graphicData>
            </a:graphic>
          </wp:inline>
        </w:drawing>
      </w:r>
    </w:p>
    <w:p w14:paraId="7C1C727B">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jc w:val="both"/>
        <w:textAlignment w:val="auto"/>
        <w:rPr>
          <w:rFonts w:hint="default" w:ascii="Times New Roman" w:hAnsi="Times New Roman" w:eastAsia="Segoe UI" w:cs="Times New Roman"/>
          <w:b w:val="0"/>
          <w:bCs w:val="0"/>
          <w:i w:val="0"/>
          <w:iCs w:val="0"/>
          <w:caps w:val="0"/>
          <w:color w:val="0F1115"/>
          <w:spacing w:val="0"/>
          <w:kern w:val="2"/>
          <w:sz w:val="21"/>
          <w:szCs w:val="21"/>
          <w:shd w:val="clear" w:fill="FFFFFF"/>
          <w:lang w:val="en-US" w:eastAsia="en-US" w:bidi="ar-SA"/>
        </w:rPr>
      </w:pPr>
      <w:r>
        <w:rPr>
          <w:rFonts w:hint="default" w:ascii="Times New Roman" w:hAnsi="Times New Roman" w:cs="Times New Roman" w:eastAsiaTheme="minorEastAsia"/>
          <w:b/>
          <w:bCs/>
          <w:color w:val="000000"/>
          <w:kern w:val="2"/>
          <w:sz w:val="21"/>
          <w:szCs w:val="21"/>
          <w:lang w:val="en-US" w:eastAsia="en-US" w:bidi="ar-SA"/>
        </w:rPr>
        <w:t xml:space="preserve">Supplementary Figure S5. Spatial distribution of </w:t>
      </w:r>
      <w:r>
        <w:rPr>
          <w:rFonts w:hint="eastAsia" w:cs="Times New Roman" w:eastAsiaTheme="minorEastAsia"/>
          <w:b/>
          <w:bCs/>
          <w:color w:val="000000"/>
          <w:kern w:val="2"/>
          <w:sz w:val="21"/>
          <w:szCs w:val="21"/>
          <w:lang w:val="en-US" w:eastAsia="zh-CN" w:bidi="ar-SA"/>
        </w:rPr>
        <w:t>Tmax</w:t>
      </w:r>
      <w:r>
        <w:rPr>
          <w:rFonts w:hint="default" w:ascii="Times New Roman" w:hAnsi="Times New Roman" w:cs="Times New Roman" w:eastAsiaTheme="minorEastAsia"/>
          <w:b/>
          <w:bCs/>
          <w:color w:val="000000"/>
          <w:kern w:val="2"/>
          <w:sz w:val="21"/>
          <w:szCs w:val="21"/>
          <w:lang w:val="en-US" w:eastAsia="en-US" w:bidi="ar-SA"/>
        </w:rPr>
        <w:t xml:space="preserve"> sensitivity coefficients for ozone in the Pearl River Delta (PRD) in 2010 and 2020. </w:t>
      </w:r>
      <w:r>
        <w:rPr>
          <w:rFonts w:hint="default" w:ascii="Times New Roman" w:hAnsi="Times New Roman" w:eastAsia="Segoe UI" w:cs="Times New Roman"/>
          <w:b w:val="0"/>
          <w:bCs w:val="0"/>
          <w:i w:val="0"/>
          <w:iCs w:val="0"/>
          <w:caps w:val="0"/>
          <w:color w:val="0F1115"/>
          <w:spacing w:val="0"/>
          <w:kern w:val="2"/>
          <w:sz w:val="21"/>
          <w:szCs w:val="21"/>
          <w:shd w:val="clear" w:fill="FFFFFF"/>
          <w:lang w:val="en-US" w:eastAsia="en-US" w:bidi="ar-SA"/>
        </w:rPr>
        <w:t>The regional average sensitivity increases from 1.52 in 2010 to 1.65 in 2020. In 2010, the spatial distribution is relatively homogeneous, with coefficients predominantly ranging between 1.0 and 2.0. By 2020, a distinct high-sensitivity cluster emerges around the Guangzhou-Foshan metropolitan core, with coefficients exceeding 2.5. Coastal areas, including Zhuhai and Jiangmen, maintain lower sensitivity levels with coefficients below 1.5.</w:t>
      </w:r>
    </w:p>
    <w:p w14:paraId="1FF4D282">
      <w:pPr>
        <w:pStyle w:val="4"/>
        <w:keepNext w:val="0"/>
        <w:pageBreakBefore w:val="0"/>
        <w:widowControl/>
        <w:numPr>
          <w:ilvl w:val="0"/>
          <w:numId w:val="0"/>
        </w:numPr>
        <w:kinsoku/>
        <w:overflowPunct/>
        <w:topLinePunct w:val="0"/>
        <w:bidi w:val="0"/>
        <w:snapToGrid/>
        <w:spacing w:line="48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drawing>
          <wp:inline distT="0" distB="0" distL="114300" distR="114300">
            <wp:extent cx="5271770" cy="4707255"/>
            <wp:effectExtent l="0" t="0" r="11430" b="4445"/>
            <wp:docPr id="15" name="图片 15" descr="HZ_standardized_importance_combined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Z_standardized_importance_combined_2010_2020"/>
                    <pic:cNvPicPr>
                      <a:picLocks noChangeAspect="1"/>
                    </pic:cNvPicPr>
                  </pic:nvPicPr>
                  <pic:blipFill>
                    <a:blip r:embed="rId11"/>
                    <a:stretch>
                      <a:fillRect/>
                    </a:stretch>
                  </pic:blipFill>
                  <pic:spPr>
                    <a:xfrm>
                      <a:off x="0" y="0"/>
                      <a:ext cx="5271770" cy="4707255"/>
                    </a:xfrm>
                    <a:prstGeom prst="rect">
                      <a:avLst/>
                    </a:prstGeom>
                  </pic:spPr>
                </pic:pic>
              </a:graphicData>
            </a:graphic>
          </wp:inline>
        </w:drawing>
      </w:r>
    </w:p>
    <w:p w14:paraId="25155467">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textAlignment w:val="auto"/>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Supplementary Figure S6. Relative contributions of driving factors to ozone in Central China (C</w:t>
      </w:r>
      <w:r>
        <w:rPr>
          <w:rFonts w:hint="eastAsia" w:cs="Times New Roman"/>
          <w:b/>
          <w:bCs/>
          <w:sz w:val="21"/>
          <w:szCs w:val="21"/>
          <w:lang w:val="en-US" w:eastAsia="zh-CN"/>
        </w:rPr>
        <w:t>EN</w:t>
      </w:r>
      <w:r>
        <w:rPr>
          <w:rFonts w:hint="default" w:ascii="Times New Roman" w:hAnsi="Times New Roman" w:cs="Times New Roman"/>
          <w:b/>
          <w:bCs/>
          <w:sz w:val="21"/>
          <w:szCs w:val="21"/>
          <w:lang w:val="en-US" w:eastAsia="zh-CN"/>
        </w:rPr>
        <w:t>) based on MGWR.</w:t>
      </w:r>
      <w:r>
        <w:rPr>
          <w:rFonts w:hint="default" w:ascii="Times New Roman" w:hAnsi="Times New Roman" w:cs="Times New Roman"/>
          <w:sz w:val="21"/>
          <w:szCs w:val="21"/>
          <w:lang w:val="en-US" w:eastAsia="zh-CN"/>
        </w:rPr>
        <w:t>In 2010, PM</w:t>
      </w:r>
      <w:r>
        <w:rPr>
          <w:rFonts w:hint="default" w:ascii="Times New Roman" w:hAnsi="Times New Roman" w:cs="Times New Roman"/>
          <w:sz w:val="21"/>
          <w:szCs w:val="21"/>
          <w:vertAlign w:val="subscript"/>
          <w:lang w:val="en-US" w:eastAsia="zh-CN"/>
        </w:rPr>
        <w:t>2.5</w:t>
      </w:r>
      <w:r>
        <w:rPr>
          <w:rFonts w:hint="default" w:ascii="Times New Roman" w:hAnsi="Times New Roman" w:cs="Times New Roman"/>
          <w:sz w:val="21"/>
          <w:szCs w:val="21"/>
          <w:lang w:val="en-US" w:eastAsia="zh-CN"/>
        </w:rPr>
        <w:t xml:space="preserve"> exhibits the strongest positive effect (β</w:t>
      </w:r>
      <w:r>
        <w:rPr>
          <w:rFonts w:hint="eastAsia" w:cs="Times New Roman"/>
          <w:sz w:val="21"/>
          <w:szCs w:val="21"/>
          <w:lang w:val="en-US" w:eastAsia="zh-CN"/>
        </w:rPr>
        <w:t>=</w:t>
      </w:r>
      <w:r>
        <w:rPr>
          <w:rFonts w:hint="default" w:ascii="Times New Roman" w:hAnsi="Times New Roman" w:cs="Times New Roman"/>
          <w:sz w:val="21"/>
          <w:szCs w:val="21"/>
          <w:lang w:val="en-US" w:eastAsia="zh-CN"/>
        </w:rPr>
        <w:t xml:space="preserve">2.133, 100% significance), followed by </w:t>
      </w:r>
      <w:r>
        <w:rPr>
          <w:rFonts w:hint="eastAsia" w:cs="Times New Roman"/>
          <w:sz w:val="21"/>
          <w:szCs w:val="21"/>
          <w:lang w:val="en-US" w:eastAsia="zh-CN"/>
        </w:rPr>
        <w:t>Tmax</w:t>
      </w:r>
      <w:r>
        <w:rPr>
          <w:rFonts w:hint="default" w:ascii="Times New Roman" w:hAnsi="Times New Roman" w:cs="Times New Roman"/>
          <w:sz w:val="21"/>
          <w:szCs w:val="21"/>
          <w:lang w:val="en-US" w:eastAsia="zh-CN"/>
        </w:rPr>
        <w:t xml:space="preserve"> (β</w:t>
      </w:r>
      <w:r>
        <w:rPr>
          <w:rFonts w:hint="eastAsia" w:cs="Times New Roman"/>
          <w:sz w:val="21"/>
          <w:szCs w:val="21"/>
          <w:lang w:val="en-US" w:eastAsia="zh-CN"/>
        </w:rPr>
        <w:t>=</w:t>
      </w:r>
      <w:r>
        <w:rPr>
          <w:rFonts w:hint="default" w:ascii="Times New Roman" w:hAnsi="Times New Roman" w:cs="Times New Roman"/>
          <w:sz w:val="21"/>
          <w:szCs w:val="21"/>
          <w:lang w:val="en-US" w:eastAsia="zh-CN"/>
        </w:rPr>
        <w:t>0.852, 100%) and NO₂ (β</w:t>
      </w:r>
      <w:r>
        <w:rPr>
          <w:rFonts w:hint="eastAsia" w:cs="Times New Roman"/>
          <w:sz w:val="21"/>
          <w:szCs w:val="21"/>
          <w:lang w:val="en-US" w:eastAsia="zh-CN"/>
        </w:rPr>
        <w:t>=</w:t>
      </w:r>
      <w:r>
        <w:rPr>
          <w:rFonts w:hint="default" w:ascii="Times New Roman" w:hAnsi="Times New Roman" w:cs="Times New Roman"/>
          <w:sz w:val="21"/>
          <w:szCs w:val="21"/>
          <w:lang w:val="en-US" w:eastAsia="zh-CN"/>
        </w:rPr>
        <w:t xml:space="preserve">0.320, 100%). In 2020, </w:t>
      </w:r>
      <w:r>
        <w:rPr>
          <w:rFonts w:hint="eastAsia" w:cs="Times New Roman"/>
          <w:sz w:val="21"/>
          <w:szCs w:val="21"/>
          <w:lang w:val="en-US" w:eastAsia="zh-CN"/>
        </w:rPr>
        <w:t>Tmax</w:t>
      </w:r>
      <w:r>
        <w:rPr>
          <w:rFonts w:hint="default" w:ascii="Times New Roman" w:hAnsi="Times New Roman" w:cs="Times New Roman"/>
          <w:sz w:val="21"/>
          <w:szCs w:val="21"/>
          <w:lang w:val="en-US" w:eastAsia="zh-CN"/>
        </w:rPr>
        <w:t xml:space="preserve"> emerges as the primary positive driver (β</w:t>
      </w:r>
      <w:r>
        <w:rPr>
          <w:rFonts w:hint="eastAsia" w:cs="Times New Roman"/>
          <w:sz w:val="21"/>
          <w:szCs w:val="21"/>
          <w:lang w:val="en-US" w:eastAsia="zh-CN"/>
        </w:rPr>
        <w:t>=</w:t>
      </w:r>
      <w:r>
        <w:rPr>
          <w:rFonts w:hint="default" w:ascii="Times New Roman" w:hAnsi="Times New Roman" w:cs="Times New Roman"/>
          <w:sz w:val="21"/>
          <w:szCs w:val="21"/>
          <w:lang w:val="en-US" w:eastAsia="zh-CN"/>
        </w:rPr>
        <w:t>0.662, 100%), while PM</w:t>
      </w:r>
      <w:r>
        <w:rPr>
          <w:rFonts w:hint="eastAsia" w:cs="Times New Roman"/>
          <w:sz w:val="21"/>
          <w:szCs w:val="21"/>
          <w:vertAlign w:val="subscript"/>
          <w:lang w:val="en-US" w:eastAsia="zh-CN"/>
        </w:rPr>
        <w:t>2.5</w:t>
      </w:r>
      <w:r>
        <w:rPr>
          <w:rFonts w:hint="default" w:ascii="Times New Roman" w:hAnsi="Times New Roman" w:cs="Times New Roman"/>
          <w:sz w:val="21"/>
          <w:szCs w:val="21"/>
          <w:lang w:val="en-US" w:eastAsia="zh-CN"/>
        </w:rPr>
        <w:t xml:space="preserve"> (β</w:t>
      </w:r>
      <w:r>
        <w:rPr>
          <w:rFonts w:hint="eastAsia" w:cs="Times New Roman"/>
          <w:sz w:val="21"/>
          <w:szCs w:val="21"/>
          <w:lang w:val="en-US" w:eastAsia="zh-CN"/>
        </w:rPr>
        <w:t>=</w:t>
      </w:r>
      <w:r>
        <w:rPr>
          <w:rFonts w:hint="default" w:ascii="Times New Roman" w:hAnsi="Times New Roman" w:cs="Times New Roman"/>
          <w:sz w:val="21"/>
          <w:szCs w:val="21"/>
          <w:lang w:val="en-US" w:eastAsia="zh-CN"/>
        </w:rPr>
        <w:t>0.491, 100%) retains a substantial but reduced influence. SSRD increases to β</w:t>
      </w:r>
      <w:r>
        <w:rPr>
          <w:rFonts w:hint="eastAsia" w:cs="Times New Roman"/>
          <w:sz w:val="21"/>
          <w:szCs w:val="21"/>
          <w:lang w:val="en-US" w:eastAsia="zh-CN"/>
        </w:rPr>
        <w:t>=</w:t>
      </w:r>
      <w:r>
        <w:rPr>
          <w:rFonts w:hint="default" w:ascii="Times New Roman" w:hAnsi="Times New Roman" w:cs="Times New Roman"/>
          <w:sz w:val="21"/>
          <w:szCs w:val="21"/>
          <w:lang w:val="en-US" w:eastAsia="zh-CN"/>
        </w:rPr>
        <w:t>0.426 (100%). RH demonstrates the strongest inhibitory effect, with coefficients of β</w:t>
      </w:r>
      <w:r>
        <w:rPr>
          <w:rFonts w:hint="eastAsia" w:cs="Times New Roman"/>
          <w:sz w:val="21"/>
          <w:szCs w:val="21"/>
          <w:lang w:val="en-US" w:eastAsia="zh-CN"/>
        </w:rPr>
        <w:t>=-</w:t>
      </w:r>
      <w:r>
        <w:rPr>
          <w:rFonts w:hint="default" w:ascii="Times New Roman" w:hAnsi="Times New Roman" w:cs="Times New Roman"/>
          <w:sz w:val="21"/>
          <w:szCs w:val="21"/>
          <w:lang w:val="en-US" w:eastAsia="zh-CN"/>
        </w:rPr>
        <w:t>0.425 in 2010 and β</w:t>
      </w:r>
      <w:r>
        <w:rPr>
          <w:rFonts w:hint="eastAsia" w:cs="Times New Roman"/>
          <w:sz w:val="21"/>
          <w:szCs w:val="21"/>
          <w:lang w:val="en-US" w:eastAsia="zh-CN"/>
        </w:rPr>
        <w:t>=-</w:t>
      </w:r>
      <w:r>
        <w:rPr>
          <w:rFonts w:hint="default" w:ascii="Times New Roman" w:hAnsi="Times New Roman" w:cs="Times New Roman"/>
          <w:sz w:val="21"/>
          <w:szCs w:val="21"/>
          <w:lang w:val="en-US" w:eastAsia="zh-CN"/>
        </w:rPr>
        <w:t>0.479 in 2020.</w:t>
      </w:r>
    </w:p>
    <w:p w14:paraId="140B1A50">
      <w:pPr>
        <w:pStyle w:val="4"/>
        <w:keepNext w:val="0"/>
        <w:pageBreakBefore w:val="0"/>
        <w:widowControl/>
        <w:numPr>
          <w:ilvl w:val="0"/>
          <w:numId w:val="0"/>
        </w:numPr>
        <w:kinsoku/>
        <w:overflowPunct/>
        <w:topLinePunct w:val="0"/>
        <w:bidi w:val="0"/>
        <w:snapToGrid/>
        <w:spacing w:line="48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drawing>
          <wp:inline distT="0" distB="0" distL="114300" distR="114300">
            <wp:extent cx="5271770" cy="4707255"/>
            <wp:effectExtent l="0" t="0" r="11430" b="4445"/>
            <wp:docPr id="17" name="图片 17" descr="NEP_standardized_importance_combined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NEP_standardized_importance_combined_2010_2020"/>
                    <pic:cNvPicPr>
                      <a:picLocks noChangeAspect="1"/>
                    </pic:cNvPicPr>
                  </pic:nvPicPr>
                  <pic:blipFill>
                    <a:blip r:embed="rId12"/>
                    <a:stretch>
                      <a:fillRect/>
                    </a:stretch>
                  </pic:blipFill>
                  <pic:spPr>
                    <a:xfrm>
                      <a:off x="0" y="0"/>
                      <a:ext cx="5271770" cy="4707255"/>
                    </a:xfrm>
                    <a:prstGeom prst="rect">
                      <a:avLst/>
                    </a:prstGeom>
                  </pic:spPr>
                </pic:pic>
              </a:graphicData>
            </a:graphic>
          </wp:inline>
        </w:drawing>
      </w:r>
    </w:p>
    <w:p w14:paraId="121702E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b w:val="0"/>
          <w:bCs w:val="0"/>
          <w:sz w:val="21"/>
          <w:szCs w:val="21"/>
          <w:lang w:val="en-US" w:eastAsia="zh-CN"/>
        </w:rPr>
      </w:pPr>
      <w:r>
        <w:rPr>
          <w:rFonts w:hint="default" w:ascii="Times New Roman" w:hAnsi="Times New Roman" w:cs="Times New Roman"/>
          <w:b/>
          <w:bCs/>
          <w:sz w:val="21"/>
          <w:szCs w:val="21"/>
          <w:lang w:val="en-US" w:eastAsia="zh-CN"/>
        </w:rPr>
        <w:t>Supplementary Figure S7. Relative contributions of driving factors to ozone in Northeast China Plain (N</w:t>
      </w:r>
      <w:r>
        <w:rPr>
          <w:rFonts w:hint="eastAsia" w:cs="Times New Roman"/>
          <w:b/>
          <w:bCs/>
          <w:sz w:val="21"/>
          <w:szCs w:val="21"/>
          <w:lang w:val="en-US" w:eastAsia="zh-CN"/>
        </w:rPr>
        <w:t>EP</w:t>
      </w:r>
      <w:r>
        <w:rPr>
          <w:rFonts w:hint="default" w:ascii="Times New Roman" w:hAnsi="Times New Roman" w:cs="Times New Roman"/>
          <w:b/>
          <w:bCs/>
          <w:sz w:val="21"/>
          <w:szCs w:val="21"/>
          <w:lang w:val="en-US" w:eastAsia="zh-CN"/>
        </w:rPr>
        <w:t xml:space="preserve">) based on MGWR. </w:t>
      </w:r>
      <w:r>
        <w:rPr>
          <w:rFonts w:hint="default" w:ascii="Times New Roman" w:hAnsi="Times New Roman" w:cs="Times New Roman"/>
          <w:b w:val="0"/>
          <w:bCs w:val="0"/>
          <w:sz w:val="21"/>
          <w:szCs w:val="21"/>
          <w:lang w:val="en-US" w:eastAsia="zh-CN"/>
        </w:rPr>
        <w:t>In 2010, SSRD (β</w:t>
      </w:r>
      <w:r>
        <w:rPr>
          <w:rFonts w:hint="eastAsia" w:cs="Times New Roman"/>
          <w:b w:val="0"/>
          <w:bCs w:val="0"/>
          <w:sz w:val="21"/>
          <w:szCs w:val="21"/>
          <w:lang w:val="en-US" w:eastAsia="zh-CN"/>
        </w:rPr>
        <w:t>=</w:t>
      </w:r>
      <w:r>
        <w:rPr>
          <w:rFonts w:hint="default" w:ascii="Times New Roman" w:hAnsi="Times New Roman" w:cs="Times New Roman"/>
          <w:b w:val="0"/>
          <w:bCs w:val="0"/>
          <w:sz w:val="21"/>
          <w:szCs w:val="21"/>
          <w:lang w:val="en-US" w:eastAsia="zh-CN"/>
        </w:rPr>
        <w:t xml:space="preserve">0.569, 100% significance) and </w:t>
      </w:r>
      <w:r>
        <w:rPr>
          <w:rFonts w:hint="eastAsia" w:cs="Times New Roman"/>
          <w:b w:val="0"/>
          <w:bCs w:val="0"/>
          <w:sz w:val="21"/>
          <w:szCs w:val="21"/>
          <w:lang w:val="en-US" w:eastAsia="zh-CN"/>
        </w:rPr>
        <w:t>Tmax</w:t>
      </w:r>
      <w:r>
        <w:rPr>
          <w:rFonts w:hint="default" w:ascii="Times New Roman" w:hAnsi="Times New Roman" w:cs="Times New Roman"/>
          <w:b w:val="0"/>
          <w:bCs w:val="0"/>
          <w:sz w:val="21"/>
          <w:szCs w:val="21"/>
          <w:lang w:val="en-US" w:eastAsia="zh-CN"/>
        </w:rPr>
        <w:t xml:space="preserve"> (β</w:t>
      </w:r>
      <w:r>
        <w:rPr>
          <w:rFonts w:hint="eastAsia" w:cs="Times New Roman"/>
          <w:b w:val="0"/>
          <w:bCs w:val="0"/>
          <w:sz w:val="21"/>
          <w:szCs w:val="21"/>
          <w:lang w:val="en-US" w:eastAsia="zh-CN"/>
        </w:rPr>
        <w:t>=</w:t>
      </w:r>
      <w:r>
        <w:rPr>
          <w:rFonts w:hint="default" w:ascii="Times New Roman" w:hAnsi="Times New Roman" w:cs="Times New Roman"/>
          <w:b w:val="0"/>
          <w:bCs w:val="0"/>
          <w:sz w:val="21"/>
          <w:szCs w:val="21"/>
          <w:lang w:val="en-US" w:eastAsia="zh-CN"/>
        </w:rPr>
        <w:t>0.523, 99.9%) are the dominant positive drivers. In 2020, SSRD (β</w:t>
      </w:r>
      <w:r>
        <w:rPr>
          <w:rFonts w:hint="eastAsia" w:cs="Times New Roman"/>
          <w:b w:val="0"/>
          <w:bCs w:val="0"/>
          <w:sz w:val="21"/>
          <w:szCs w:val="21"/>
          <w:lang w:val="en-US" w:eastAsia="zh-CN"/>
        </w:rPr>
        <w:t>=</w:t>
      </w:r>
      <w:r>
        <w:rPr>
          <w:rFonts w:hint="default" w:ascii="Times New Roman" w:hAnsi="Times New Roman" w:cs="Times New Roman"/>
          <w:b w:val="0"/>
          <w:bCs w:val="0"/>
          <w:sz w:val="21"/>
          <w:szCs w:val="21"/>
          <w:lang w:val="en-US" w:eastAsia="zh-CN"/>
        </w:rPr>
        <w:t xml:space="preserve">0.473, 99.8%) remains the most influential factor, while </w:t>
      </w:r>
      <w:r>
        <w:rPr>
          <w:rFonts w:hint="eastAsia" w:cs="Times New Roman"/>
          <w:b w:val="0"/>
          <w:bCs w:val="0"/>
          <w:sz w:val="21"/>
          <w:szCs w:val="21"/>
          <w:lang w:val="en-US" w:eastAsia="zh-CN"/>
        </w:rPr>
        <w:t>Tmax</w:t>
      </w:r>
      <w:r>
        <w:rPr>
          <w:rFonts w:hint="default" w:ascii="Times New Roman" w:hAnsi="Times New Roman" w:cs="Times New Roman"/>
          <w:b w:val="0"/>
          <w:bCs w:val="0"/>
          <w:sz w:val="21"/>
          <w:szCs w:val="21"/>
          <w:lang w:val="en-US" w:eastAsia="zh-CN"/>
        </w:rPr>
        <w:t xml:space="preserve"> (β</w:t>
      </w:r>
      <w:r>
        <w:rPr>
          <w:rFonts w:hint="eastAsia" w:cs="Times New Roman"/>
          <w:b w:val="0"/>
          <w:bCs w:val="0"/>
          <w:sz w:val="21"/>
          <w:szCs w:val="21"/>
          <w:lang w:val="en-US" w:eastAsia="zh-CN"/>
        </w:rPr>
        <w:t>=</w:t>
      </w:r>
      <w:r>
        <w:rPr>
          <w:rFonts w:hint="default" w:ascii="Times New Roman" w:hAnsi="Times New Roman" w:cs="Times New Roman"/>
          <w:b w:val="0"/>
          <w:bCs w:val="0"/>
          <w:sz w:val="21"/>
          <w:szCs w:val="21"/>
          <w:lang w:val="en-US" w:eastAsia="zh-CN"/>
        </w:rPr>
        <w:t>0.210, 95.6%) exhibits weakened but persistent significance. PM</w:t>
      </w:r>
      <w:r>
        <w:rPr>
          <w:rFonts w:hint="eastAsia" w:cs="Times New Roman"/>
          <w:b w:val="0"/>
          <w:bCs w:val="0"/>
          <w:sz w:val="21"/>
          <w:szCs w:val="21"/>
          <w:vertAlign w:val="subscript"/>
          <w:lang w:val="en-US" w:eastAsia="zh-CN"/>
        </w:rPr>
        <w:t>2.5</w:t>
      </w:r>
      <w:r>
        <w:rPr>
          <w:rFonts w:hint="default" w:ascii="Times New Roman" w:hAnsi="Times New Roman" w:cs="Times New Roman"/>
          <w:b w:val="0"/>
          <w:bCs w:val="0"/>
          <w:sz w:val="21"/>
          <w:szCs w:val="21"/>
          <w:lang w:val="en-US" w:eastAsia="zh-CN"/>
        </w:rPr>
        <w:t xml:space="preserve"> demonstrates an increasing positive effect, with coefficients rising from β</w:t>
      </w:r>
      <w:r>
        <w:rPr>
          <w:rFonts w:hint="eastAsia" w:cs="Times New Roman"/>
          <w:b w:val="0"/>
          <w:bCs w:val="0"/>
          <w:sz w:val="21"/>
          <w:szCs w:val="21"/>
          <w:lang w:val="en-US" w:eastAsia="zh-CN"/>
        </w:rPr>
        <w:t>=</w:t>
      </w:r>
      <w:r>
        <w:rPr>
          <w:rFonts w:hint="default" w:ascii="Times New Roman" w:hAnsi="Times New Roman" w:cs="Times New Roman"/>
          <w:b w:val="0"/>
          <w:bCs w:val="0"/>
          <w:sz w:val="21"/>
          <w:szCs w:val="21"/>
          <w:lang w:val="en-US" w:eastAsia="zh-CN"/>
        </w:rPr>
        <w:t>0.182 (84% significance) in 2010 to β</w:t>
      </w:r>
      <w:r>
        <w:rPr>
          <w:rFonts w:hint="eastAsia" w:cs="Times New Roman"/>
          <w:b w:val="0"/>
          <w:bCs w:val="0"/>
          <w:sz w:val="21"/>
          <w:szCs w:val="21"/>
          <w:lang w:val="en-US" w:eastAsia="zh-CN"/>
        </w:rPr>
        <w:t>=</w:t>
      </w:r>
      <w:r>
        <w:rPr>
          <w:rFonts w:hint="default" w:ascii="Times New Roman" w:hAnsi="Times New Roman" w:cs="Times New Roman"/>
          <w:b w:val="0"/>
          <w:bCs w:val="0"/>
          <w:sz w:val="21"/>
          <w:szCs w:val="21"/>
          <w:lang w:val="en-US" w:eastAsia="zh-CN"/>
        </w:rPr>
        <w:t>0.258 (95% significance) in 2020. RH exhibits a modest negative effect (β</w:t>
      </w:r>
      <w:r>
        <w:rPr>
          <w:rFonts w:hint="eastAsia" w:cs="Times New Roman"/>
          <w:b w:val="0"/>
          <w:bCs w:val="0"/>
          <w:sz w:val="21"/>
          <w:szCs w:val="21"/>
          <w:lang w:val="en-US" w:eastAsia="zh-CN"/>
        </w:rPr>
        <w:t>=-</w:t>
      </w:r>
      <w:r>
        <w:rPr>
          <w:rFonts w:hint="default" w:ascii="Times New Roman" w:hAnsi="Times New Roman" w:cs="Times New Roman"/>
          <w:b w:val="0"/>
          <w:bCs w:val="0"/>
          <w:sz w:val="21"/>
          <w:szCs w:val="21"/>
          <w:lang w:val="en-US" w:eastAsia="zh-CN"/>
        </w:rPr>
        <w:t>0.111 in 2020). Socioeconomic variables, including POP and GDP, remain statistically insignificant across the majority of grid cells.</w:t>
      </w:r>
    </w:p>
    <w:p w14:paraId="19803B9E">
      <w:pPr>
        <w:pStyle w:val="4"/>
        <w:keepNext w:val="0"/>
        <w:pageBreakBefore w:val="0"/>
        <w:widowControl/>
        <w:numPr>
          <w:ilvl w:val="0"/>
          <w:numId w:val="0"/>
        </w:numPr>
        <w:kinsoku/>
        <w:overflowPunct/>
        <w:topLinePunct w:val="0"/>
        <w:bidi w:val="0"/>
        <w:snapToGrid/>
        <w:spacing w:line="480" w:lineRule="auto"/>
        <w:ind w:leftChars="0"/>
        <w:jc w:val="left"/>
        <w:textAlignment w:val="auto"/>
        <w:rPr>
          <w:rFonts w:hint="eastAsia"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drawing>
          <wp:inline distT="0" distB="0" distL="114300" distR="114300">
            <wp:extent cx="5271770" cy="4707255"/>
            <wp:effectExtent l="0" t="0" r="11430" b="4445"/>
            <wp:docPr id="18" name="图片 18" descr="PRD_standardized_importance_combined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PRD_standardized_importance_combined_2010_2020"/>
                    <pic:cNvPicPr>
                      <a:picLocks noChangeAspect="1"/>
                    </pic:cNvPicPr>
                  </pic:nvPicPr>
                  <pic:blipFill>
                    <a:blip r:embed="rId13"/>
                    <a:stretch>
                      <a:fillRect/>
                    </a:stretch>
                  </pic:blipFill>
                  <pic:spPr>
                    <a:xfrm>
                      <a:off x="0" y="0"/>
                      <a:ext cx="5271770" cy="4707255"/>
                    </a:xfrm>
                    <a:prstGeom prst="rect">
                      <a:avLst/>
                    </a:prstGeom>
                  </pic:spPr>
                </pic:pic>
              </a:graphicData>
            </a:graphic>
          </wp:inline>
        </w:drawing>
      </w:r>
    </w:p>
    <w:p w14:paraId="56D48EA2">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textAlignment w:val="auto"/>
        <w:rPr>
          <w:rFonts w:hint="default"/>
          <w:sz w:val="21"/>
          <w:szCs w:val="21"/>
          <w:lang w:val="en-US" w:eastAsia="en-US"/>
        </w:rPr>
      </w:pPr>
      <w:r>
        <w:rPr>
          <w:rFonts w:hint="default"/>
          <w:b/>
          <w:bCs/>
          <w:sz w:val="21"/>
          <w:szCs w:val="21"/>
          <w:lang w:val="en-US" w:eastAsia="en-US"/>
        </w:rPr>
        <w:t>Supplementary Figure S8. Relative contributions of driving factors to ozone in the Pearl River Delta (PRD) based on MGWR.</w:t>
      </w:r>
      <w:r>
        <w:rPr>
          <w:rFonts w:hint="default"/>
          <w:sz w:val="21"/>
          <w:szCs w:val="21"/>
          <w:lang w:val="en-US" w:eastAsia="en-US"/>
        </w:rPr>
        <w:t xml:space="preserve"> In 2010, SSRD (β</w:t>
      </w:r>
      <w:r>
        <w:rPr>
          <w:rFonts w:hint="eastAsia"/>
          <w:sz w:val="21"/>
          <w:szCs w:val="21"/>
          <w:lang w:val="en-US" w:eastAsia="zh-CN"/>
        </w:rPr>
        <w:t>=</w:t>
      </w:r>
      <w:r>
        <w:rPr>
          <w:rFonts w:hint="default"/>
          <w:sz w:val="21"/>
          <w:szCs w:val="21"/>
          <w:lang w:val="en-US" w:eastAsia="en-US"/>
        </w:rPr>
        <w:t>0.701, 100% significance) is the strongest positive driver, followed by PM</w:t>
      </w:r>
      <w:r>
        <w:rPr>
          <w:rFonts w:hint="eastAsia"/>
          <w:sz w:val="21"/>
          <w:szCs w:val="21"/>
          <w:vertAlign w:val="subscript"/>
          <w:lang w:val="en-US" w:eastAsia="zh-CN"/>
        </w:rPr>
        <w:t>2.5</w:t>
      </w:r>
      <w:r>
        <w:rPr>
          <w:rFonts w:hint="default"/>
          <w:sz w:val="21"/>
          <w:szCs w:val="21"/>
          <w:lang w:val="en-US" w:eastAsia="en-US"/>
        </w:rPr>
        <w:t xml:space="preserve"> (β</w:t>
      </w:r>
      <w:r>
        <w:rPr>
          <w:rFonts w:hint="eastAsia"/>
          <w:sz w:val="21"/>
          <w:szCs w:val="21"/>
          <w:lang w:val="en-US" w:eastAsia="zh-CN"/>
        </w:rPr>
        <w:t>=</w:t>
      </w:r>
      <w:r>
        <w:rPr>
          <w:rFonts w:hint="default"/>
          <w:sz w:val="21"/>
          <w:szCs w:val="21"/>
          <w:lang w:val="en-US" w:eastAsia="en-US"/>
        </w:rPr>
        <w:t xml:space="preserve">0.554, 100%) and </w:t>
      </w:r>
      <w:r>
        <w:rPr>
          <w:rFonts w:hint="eastAsia"/>
          <w:sz w:val="21"/>
          <w:szCs w:val="21"/>
          <w:lang w:val="en-US" w:eastAsia="zh-CN"/>
        </w:rPr>
        <w:t>Tmax</w:t>
      </w:r>
      <w:r>
        <w:rPr>
          <w:rFonts w:hint="default"/>
          <w:sz w:val="21"/>
          <w:szCs w:val="21"/>
          <w:lang w:val="en-US" w:eastAsia="en-US"/>
        </w:rPr>
        <w:t xml:space="preserve"> (β</w:t>
      </w:r>
      <w:r>
        <w:rPr>
          <w:rFonts w:hint="eastAsia"/>
          <w:sz w:val="21"/>
          <w:szCs w:val="21"/>
          <w:lang w:val="en-US" w:eastAsia="zh-CN"/>
        </w:rPr>
        <w:t>=</w:t>
      </w:r>
      <w:r>
        <w:rPr>
          <w:rFonts w:hint="default"/>
          <w:sz w:val="21"/>
          <w:szCs w:val="21"/>
          <w:lang w:val="en-US" w:eastAsia="en-US"/>
        </w:rPr>
        <w:t>0.433, 100%). In 2020, PM</w:t>
      </w:r>
      <w:r>
        <w:rPr>
          <w:rFonts w:hint="eastAsia"/>
          <w:sz w:val="21"/>
          <w:szCs w:val="21"/>
          <w:vertAlign w:val="subscript"/>
          <w:lang w:val="en-US" w:eastAsia="zh-CN"/>
        </w:rPr>
        <w:t>2.5</w:t>
      </w:r>
      <w:r>
        <w:rPr>
          <w:rFonts w:hint="eastAsia"/>
          <w:sz w:val="21"/>
          <w:szCs w:val="21"/>
          <w:vertAlign w:val="baseline"/>
          <w:lang w:val="en-US" w:eastAsia="zh-CN"/>
        </w:rPr>
        <w:t xml:space="preserve"> </w:t>
      </w:r>
      <w:r>
        <w:rPr>
          <w:rFonts w:hint="default"/>
          <w:sz w:val="21"/>
          <w:szCs w:val="21"/>
          <w:lang w:val="en-US" w:eastAsia="en-US"/>
        </w:rPr>
        <w:t>(β</w:t>
      </w:r>
      <w:r>
        <w:rPr>
          <w:rFonts w:hint="eastAsia"/>
          <w:sz w:val="21"/>
          <w:szCs w:val="21"/>
          <w:lang w:val="en-US" w:eastAsia="zh-CN"/>
        </w:rPr>
        <w:t>=</w:t>
      </w:r>
      <w:r>
        <w:rPr>
          <w:rFonts w:hint="default"/>
          <w:sz w:val="21"/>
          <w:szCs w:val="21"/>
          <w:lang w:val="en-US" w:eastAsia="en-US"/>
        </w:rPr>
        <w:t>1.004, 100%) becomes the dominant factor, surpassing SSRD (β</w:t>
      </w:r>
      <w:r>
        <w:rPr>
          <w:rFonts w:hint="eastAsia"/>
          <w:sz w:val="21"/>
          <w:szCs w:val="21"/>
          <w:lang w:val="en-US" w:eastAsia="zh-CN"/>
        </w:rPr>
        <w:t>=</w:t>
      </w:r>
      <w:r>
        <w:rPr>
          <w:rFonts w:hint="default"/>
          <w:sz w:val="21"/>
          <w:szCs w:val="21"/>
          <w:lang w:val="en-US" w:eastAsia="en-US"/>
        </w:rPr>
        <w:t xml:space="preserve">0.419, 100%) and </w:t>
      </w:r>
      <w:r>
        <w:rPr>
          <w:rFonts w:hint="eastAsia"/>
          <w:sz w:val="21"/>
          <w:szCs w:val="21"/>
          <w:lang w:val="en-US" w:eastAsia="zh-CN"/>
        </w:rPr>
        <w:t>Tmax</w:t>
      </w:r>
      <w:r>
        <w:rPr>
          <w:rFonts w:hint="default"/>
          <w:sz w:val="21"/>
          <w:szCs w:val="21"/>
          <w:lang w:val="en-US" w:eastAsia="en-US"/>
        </w:rPr>
        <w:t xml:space="preserve"> (β</w:t>
      </w:r>
      <w:r>
        <w:rPr>
          <w:rFonts w:hint="eastAsia"/>
          <w:sz w:val="21"/>
          <w:szCs w:val="21"/>
          <w:lang w:val="en-US" w:eastAsia="zh-CN"/>
        </w:rPr>
        <w:t>=</w:t>
      </w:r>
      <w:r>
        <w:rPr>
          <w:rFonts w:hint="default"/>
          <w:sz w:val="21"/>
          <w:szCs w:val="21"/>
          <w:lang w:val="en-US" w:eastAsia="en-US"/>
        </w:rPr>
        <w:t>0.469, 100%). GDP demonstrates a markedly enhanced contribution (β</w:t>
      </w:r>
      <w:r>
        <w:rPr>
          <w:rFonts w:hint="eastAsia"/>
          <w:sz w:val="21"/>
          <w:szCs w:val="21"/>
          <w:lang w:val="en-US" w:eastAsia="zh-CN"/>
        </w:rPr>
        <w:t>=</w:t>
      </w:r>
      <w:r>
        <w:rPr>
          <w:rFonts w:hint="default"/>
          <w:sz w:val="21"/>
          <w:szCs w:val="21"/>
          <w:lang w:val="en-US" w:eastAsia="en-US"/>
        </w:rPr>
        <w:t>0.629, 98% significance). V10 maintains a consistently negative effect (β</w:t>
      </w:r>
      <w:r>
        <w:rPr>
          <w:rFonts w:hint="eastAsia"/>
          <w:sz w:val="21"/>
          <w:szCs w:val="21"/>
          <w:lang w:val="en-US" w:eastAsia="zh-CN"/>
        </w:rPr>
        <w:t>=-</w:t>
      </w:r>
      <w:r>
        <w:rPr>
          <w:rFonts w:hint="default"/>
          <w:sz w:val="21"/>
          <w:szCs w:val="21"/>
          <w:lang w:val="en-US" w:eastAsia="en-US"/>
        </w:rPr>
        <w:t>0.263 in 2020).</w:t>
      </w:r>
    </w:p>
    <w:p w14:paraId="5A0FFBB5">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default"/>
          <w:sz w:val="21"/>
          <w:szCs w:val="21"/>
          <w:lang w:val="en-US" w:eastAsia="en-US"/>
        </w:rPr>
      </w:pPr>
    </w:p>
    <w:p w14:paraId="11EE84A9">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eastAsia="宋体"/>
          <w:sz w:val="21"/>
          <w:szCs w:val="21"/>
          <w:lang w:val="en-US" w:eastAsia="zh-CN"/>
        </w:rPr>
      </w:pPr>
    </w:p>
    <w:p w14:paraId="2E92F567">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eastAsia="宋体"/>
          <w:sz w:val="21"/>
          <w:szCs w:val="21"/>
          <w:lang w:val="en-US" w:eastAsia="zh-CN"/>
        </w:rPr>
      </w:pPr>
      <w:r>
        <w:rPr>
          <w:rFonts w:hint="eastAsia" w:eastAsia="宋体"/>
          <w:sz w:val="21"/>
          <w:szCs w:val="21"/>
          <w:lang w:val="en-US" w:eastAsia="zh-CN"/>
        </w:rPr>
        <w:drawing>
          <wp:inline distT="0" distB="0" distL="114300" distR="114300">
            <wp:extent cx="4715510" cy="2355215"/>
            <wp:effectExtent l="0" t="0" r="8890" b="6985"/>
            <wp:docPr id="2" name="图片 2" descr="observed_vs_predicted_panel_JingJinJi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observed_vs_predicted_panel_JingJinJi_2010_2020"/>
                    <pic:cNvPicPr>
                      <a:picLocks noChangeAspect="1"/>
                    </pic:cNvPicPr>
                  </pic:nvPicPr>
                  <pic:blipFill>
                    <a:blip r:embed="rId14"/>
                    <a:stretch>
                      <a:fillRect/>
                    </a:stretch>
                  </pic:blipFill>
                  <pic:spPr>
                    <a:xfrm>
                      <a:off x="0" y="0"/>
                      <a:ext cx="4715510" cy="2355215"/>
                    </a:xfrm>
                    <a:prstGeom prst="rect">
                      <a:avLst/>
                    </a:prstGeom>
                  </pic:spPr>
                </pic:pic>
              </a:graphicData>
            </a:graphic>
          </wp:inline>
        </w:drawing>
      </w:r>
    </w:p>
    <w:p w14:paraId="1C471F13">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textAlignment w:val="auto"/>
        <w:rPr>
          <w:rFonts w:hint="default" w:ascii="Times New Roman" w:hAnsi="Times New Roman"/>
          <w:b/>
          <w:bCs/>
          <w:sz w:val="21"/>
          <w:szCs w:val="21"/>
          <w:lang w:val="en-US" w:eastAsia="zh-CN"/>
        </w:rPr>
      </w:pPr>
      <w:r>
        <w:rPr>
          <w:rFonts w:hint="default" w:ascii="Times New Roman" w:hAnsi="Times New Roman"/>
          <w:b/>
          <w:bCs/>
          <w:sz w:val="21"/>
          <w:szCs w:val="21"/>
          <w:lang w:val="en-US" w:eastAsia="zh-CN"/>
        </w:rPr>
        <w:t xml:space="preserve">Supplementary Figure S9. MGWR model validation for ozone concentrations in BTH . </w:t>
      </w:r>
      <w:r>
        <w:rPr>
          <w:rFonts w:hint="default" w:ascii="Times New Roman" w:hAnsi="Times New Roman"/>
          <w:b w:val="0"/>
          <w:bCs w:val="0"/>
          <w:sz w:val="21"/>
          <w:szCs w:val="21"/>
          <w:lang w:val="en-US" w:eastAsia="zh-CN"/>
        </w:rPr>
        <w:t>Scatter plots of observed versus predicted MDA8 O</w:t>
      </w:r>
      <w:r>
        <w:rPr>
          <w:rFonts w:hint="eastAsia" w:ascii="Times New Roman" w:hAnsi="Times New Roman"/>
          <w:b w:val="0"/>
          <w:bCs w:val="0"/>
          <w:sz w:val="21"/>
          <w:szCs w:val="21"/>
          <w:vertAlign w:val="subscript"/>
          <w:lang w:val="en-US" w:eastAsia="zh-CN"/>
        </w:rPr>
        <w:t>3</w:t>
      </w:r>
      <w:r>
        <w:rPr>
          <w:rFonts w:hint="default" w:ascii="Times New Roman" w:hAnsi="Times New Roman"/>
          <w:b w:val="0"/>
          <w:bCs w:val="0"/>
          <w:sz w:val="21"/>
          <w:szCs w:val="21"/>
          <w:lang w:val="en-US" w:eastAsia="zh-CN"/>
        </w:rPr>
        <w:t xml:space="preserve"> concentrations for 2010 (a) and 2020 (b). The coefficient of determination (R</w:t>
      </w:r>
      <w:r>
        <w:rPr>
          <w:rFonts w:hint="eastAsia" w:ascii="Times New Roman" w:hAnsi="Times New Roman"/>
          <w:b w:val="0"/>
          <w:bCs w:val="0"/>
          <w:sz w:val="21"/>
          <w:szCs w:val="21"/>
          <w:vertAlign w:val="superscript"/>
          <w:lang w:val="en-US" w:eastAsia="zh-CN"/>
        </w:rPr>
        <w:t>2</w:t>
      </w:r>
      <w:r>
        <w:rPr>
          <w:rFonts w:hint="default" w:ascii="Times New Roman" w:hAnsi="Times New Roman"/>
          <w:b w:val="0"/>
          <w:bCs w:val="0"/>
          <w:sz w:val="21"/>
          <w:szCs w:val="21"/>
          <w:lang w:val="en-US" w:eastAsia="zh-CN"/>
        </w:rPr>
        <w:t>) values are 0.986 for 2010 and 0.989 for 2020, with</w:t>
      </w:r>
      <w:r>
        <w:rPr>
          <w:rFonts w:hint="eastAsia" w:ascii="Times New Roman" w:hAnsi="Times New Roman"/>
          <w:b w:val="0"/>
          <w:bCs w:val="0"/>
          <w:sz w:val="21"/>
          <w:szCs w:val="21"/>
          <w:lang w:val="en-US" w:eastAsia="zh-CN"/>
        </w:rPr>
        <w:t xml:space="preserve"> </w:t>
      </w:r>
      <w:r>
        <w:rPr>
          <w:rFonts w:hint="default" w:ascii="Times New Roman" w:hAnsi="Times New Roman"/>
          <w:b w:val="0"/>
          <w:bCs w:val="0"/>
          <w:sz w:val="21"/>
          <w:szCs w:val="21"/>
          <w:lang w:val="en-US" w:eastAsia="zh-CN"/>
        </w:rPr>
        <w:t>corresponding RMSE values of 2.7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2.5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and MAE values of 2.03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1.87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w:t>
      </w:r>
    </w:p>
    <w:p w14:paraId="608D34B7">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default"/>
          <w:sz w:val="21"/>
          <w:szCs w:val="21"/>
          <w:lang w:val="en-US" w:eastAsia="zh-CN"/>
        </w:rPr>
      </w:pPr>
      <w:r>
        <w:rPr>
          <w:rFonts w:hint="default"/>
          <w:sz w:val="21"/>
          <w:szCs w:val="21"/>
          <w:lang w:val="en-US" w:eastAsia="zh-CN"/>
        </w:rPr>
        <w:t xml:space="preserve"> </w:t>
      </w:r>
      <w:r>
        <w:rPr>
          <w:rFonts w:hint="default"/>
          <w:sz w:val="21"/>
          <w:szCs w:val="21"/>
          <w:lang w:val="en-US" w:eastAsia="zh-CN"/>
        </w:rPr>
        <w:drawing>
          <wp:inline distT="0" distB="0" distL="114300" distR="114300">
            <wp:extent cx="4632960" cy="2313940"/>
            <wp:effectExtent l="0" t="0" r="2540" b="10160"/>
            <wp:docPr id="3" name="图片 3" descr="observed_vs_predicted_panel_Huazhong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observed_vs_predicted_panel_Huazhong_2010_2020"/>
                    <pic:cNvPicPr>
                      <a:picLocks noChangeAspect="1"/>
                    </pic:cNvPicPr>
                  </pic:nvPicPr>
                  <pic:blipFill>
                    <a:blip r:embed="rId15"/>
                    <a:stretch>
                      <a:fillRect/>
                    </a:stretch>
                  </pic:blipFill>
                  <pic:spPr>
                    <a:xfrm>
                      <a:off x="0" y="0"/>
                      <a:ext cx="4632960" cy="2313940"/>
                    </a:xfrm>
                    <a:prstGeom prst="rect">
                      <a:avLst/>
                    </a:prstGeom>
                  </pic:spPr>
                </pic:pic>
              </a:graphicData>
            </a:graphic>
          </wp:inline>
        </w:drawing>
      </w:r>
    </w:p>
    <w:p w14:paraId="243514DF">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textAlignment w:val="auto"/>
        <w:rPr>
          <w:rFonts w:hint="eastAsia" w:ascii="Times New Roman" w:hAnsi="Times New Roman"/>
          <w:b w:val="0"/>
          <w:bCs w:val="0"/>
          <w:sz w:val="21"/>
          <w:szCs w:val="21"/>
          <w:lang w:val="en-US" w:eastAsia="zh-CN"/>
        </w:rPr>
      </w:pPr>
      <w:r>
        <w:rPr>
          <w:rFonts w:hint="eastAsia" w:ascii="Times New Roman" w:hAnsi="Times New Roman"/>
          <w:b/>
          <w:bCs/>
          <w:sz w:val="21"/>
          <w:szCs w:val="21"/>
          <w:lang w:val="en-US" w:eastAsia="zh-CN"/>
        </w:rPr>
        <w:t xml:space="preserve">Supplementary Figure S10. MGWR model validation for ozone concentrations in CEN . </w:t>
      </w:r>
      <w:r>
        <w:rPr>
          <w:rFonts w:hint="eastAsia" w:ascii="Times New Roman" w:hAnsi="Times New Roman"/>
          <w:b w:val="0"/>
          <w:bCs w:val="0"/>
          <w:sz w:val="21"/>
          <w:szCs w:val="21"/>
          <w:lang w:val="en-US" w:eastAsia="zh-CN"/>
        </w:rPr>
        <w:t>Scatter plots of observed versus predicted MDA8 O</w:t>
      </w:r>
      <w:r>
        <w:rPr>
          <w:rFonts w:hint="eastAsia" w:ascii="Times New Roman" w:hAnsi="Times New Roman"/>
          <w:b w:val="0"/>
          <w:bCs w:val="0"/>
          <w:sz w:val="21"/>
          <w:szCs w:val="21"/>
          <w:vertAlign w:val="subscript"/>
          <w:lang w:val="en-US" w:eastAsia="zh-CN"/>
        </w:rPr>
        <w:t>3</w:t>
      </w:r>
      <w:r>
        <w:rPr>
          <w:rFonts w:hint="eastAsia" w:ascii="Times New Roman" w:hAnsi="Times New Roman"/>
          <w:b w:val="0"/>
          <w:bCs w:val="0"/>
          <w:sz w:val="21"/>
          <w:szCs w:val="21"/>
          <w:lang w:val="en-US" w:eastAsia="zh-CN"/>
        </w:rPr>
        <w:t xml:space="preserve"> concentrations for 2010 (a) and 2020 (b). The model achieves R</w:t>
      </w:r>
      <w:r>
        <w:rPr>
          <w:rFonts w:hint="eastAsia" w:ascii="Times New Roman" w:hAnsi="Times New Roman"/>
          <w:b w:val="0"/>
          <w:bCs w:val="0"/>
          <w:sz w:val="21"/>
          <w:szCs w:val="21"/>
          <w:vertAlign w:val="superscript"/>
          <w:lang w:val="en-US" w:eastAsia="zh-CN"/>
        </w:rPr>
        <w:t>2</w:t>
      </w:r>
      <w:r>
        <w:rPr>
          <w:rFonts w:hint="eastAsia" w:ascii="Times New Roman" w:hAnsi="Times New Roman"/>
          <w:b w:val="0"/>
          <w:bCs w:val="0"/>
          <w:sz w:val="21"/>
          <w:szCs w:val="21"/>
          <w:lang w:val="en-US" w:eastAsia="zh-CN"/>
        </w:rPr>
        <w:t xml:space="preserve"> values of 0.977 (2010) and 0.986 (2020), with RMSE values of 2.2 </w:t>
      </w:r>
      <w:r>
        <w:rPr>
          <w:rFonts w:hint="default" w:ascii="Times New Roman" w:hAnsi="Times New Roman"/>
          <w:b w:val="0"/>
          <w:bCs w:val="0"/>
          <w:sz w:val="21"/>
          <w:szCs w:val="21"/>
          <w:lang w:val="en-US" w:eastAsia="zh-CN"/>
        </w:rPr>
        <w:t>μ</w:t>
      </w:r>
      <w:r>
        <w:rPr>
          <w:rFonts w:hint="eastAsia" w:ascii="Times New Roman" w:hAnsi="Times New Roman"/>
          <w:b w:val="0"/>
          <w:bCs w:val="0"/>
          <w:sz w:val="21"/>
          <w:szCs w:val="21"/>
          <w:lang w:val="en-US" w:eastAsia="zh-CN"/>
        </w:rPr>
        <w:t>g/m</w:t>
      </w:r>
      <w:r>
        <w:rPr>
          <w:rFonts w:hint="eastAsia" w:ascii="Times New Roman" w:hAnsi="Times New Roman"/>
          <w:b w:val="0"/>
          <w:bCs w:val="0"/>
          <w:sz w:val="21"/>
          <w:szCs w:val="21"/>
          <w:vertAlign w:val="superscript"/>
          <w:lang w:val="en-US" w:eastAsia="zh-CN"/>
        </w:rPr>
        <w:t>3</w:t>
      </w:r>
      <w:r>
        <w:rPr>
          <w:rFonts w:hint="eastAsia" w:ascii="Times New Roman" w:hAnsi="Times New Roman"/>
          <w:b w:val="0"/>
          <w:bCs w:val="0"/>
          <w:sz w:val="21"/>
          <w:szCs w:val="21"/>
          <w:lang w:val="en-US" w:eastAsia="zh-CN"/>
        </w:rPr>
        <w:t xml:space="preserve"> and 2.4 </w:t>
      </w:r>
      <w:r>
        <w:rPr>
          <w:rFonts w:hint="default" w:ascii="Times New Roman" w:hAnsi="Times New Roman"/>
          <w:b w:val="0"/>
          <w:bCs w:val="0"/>
          <w:sz w:val="21"/>
          <w:szCs w:val="21"/>
          <w:lang w:val="en-US" w:eastAsia="zh-CN"/>
        </w:rPr>
        <w:t>μ</w:t>
      </w:r>
      <w:r>
        <w:rPr>
          <w:rFonts w:hint="eastAsia" w:ascii="Times New Roman" w:hAnsi="Times New Roman"/>
          <w:b w:val="0"/>
          <w:bCs w:val="0"/>
          <w:sz w:val="21"/>
          <w:szCs w:val="21"/>
          <w:lang w:val="en-US" w:eastAsia="zh-CN"/>
        </w:rPr>
        <w:t>g/m</w:t>
      </w:r>
      <w:r>
        <w:rPr>
          <w:rFonts w:hint="eastAsia" w:ascii="Times New Roman" w:hAnsi="Times New Roman"/>
          <w:b w:val="0"/>
          <w:bCs w:val="0"/>
          <w:sz w:val="21"/>
          <w:szCs w:val="21"/>
          <w:vertAlign w:val="superscript"/>
          <w:lang w:val="en-US" w:eastAsia="zh-CN"/>
        </w:rPr>
        <w:t>3</w:t>
      </w:r>
      <w:r>
        <w:rPr>
          <w:rFonts w:hint="eastAsia" w:ascii="Times New Roman" w:hAnsi="Times New Roman"/>
          <w:b w:val="0"/>
          <w:bCs w:val="0"/>
          <w:sz w:val="21"/>
          <w:szCs w:val="21"/>
          <w:lang w:val="en-US" w:eastAsia="zh-CN"/>
        </w:rPr>
        <w:t xml:space="preserve">, and MAE values of 1.67 </w:t>
      </w:r>
      <w:r>
        <w:rPr>
          <w:rFonts w:hint="default" w:ascii="Times New Roman" w:hAnsi="Times New Roman"/>
          <w:b w:val="0"/>
          <w:bCs w:val="0"/>
          <w:sz w:val="21"/>
          <w:szCs w:val="21"/>
          <w:lang w:val="en-US" w:eastAsia="zh-CN"/>
        </w:rPr>
        <w:t>μ</w:t>
      </w:r>
      <w:r>
        <w:rPr>
          <w:rFonts w:hint="eastAsia" w:ascii="Times New Roman" w:hAnsi="Times New Roman"/>
          <w:b w:val="0"/>
          <w:bCs w:val="0"/>
          <w:sz w:val="21"/>
          <w:szCs w:val="21"/>
          <w:lang w:val="en-US" w:eastAsia="zh-CN"/>
        </w:rPr>
        <w:t>g/m</w:t>
      </w:r>
      <w:r>
        <w:rPr>
          <w:rFonts w:hint="eastAsia" w:ascii="Times New Roman" w:hAnsi="Times New Roman"/>
          <w:b w:val="0"/>
          <w:bCs w:val="0"/>
          <w:sz w:val="21"/>
          <w:szCs w:val="21"/>
          <w:vertAlign w:val="superscript"/>
          <w:lang w:val="en-US" w:eastAsia="zh-CN"/>
        </w:rPr>
        <w:t>3</w:t>
      </w:r>
      <w:r>
        <w:rPr>
          <w:rFonts w:hint="eastAsia" w:ascii="Times New Roman" w:hAnsi="Times New Roman"/>
          <w:b w:val="0"/>
          <w:bCs w:val="0"/>
          <w:sz w:val="21"/>
          <w:szCs w:val="21"/>
          <w:lang w:val="en-US" w:eastAsia="zh-CN"/>
        </w:rPr>
        <w:t xml:space="preserve"> and 1.84 </w:t>
      </w:r>
      <w:r>
        <w:rPr>
          <w:rFonts w:hint="default" w:ascii="Times New Roman" w:hAnsi="Times New Roman"/>
          <w:b w:val="0"/>
          <w:bCs w:val="0"/>
          <w:sz w:val="21"/>
          <w:szCs w:val="21"/>
          <w:lang w:val="en-US" w:eastAsia="zh-CN"/>
        </w:rPr>
        <w:t>μ</w:t>
      </w:r>
      <w:r>
        <w:rPr>
          <w:rFonts w:hint="eastAsia" w:ascii="Times New Roman" w:hAnsi="Times New Roman"/>
          <w:b w:val="0"/>
          <w:bCs w:val="0"/>
          <w:sz w:val="21"/>
          <w:szCs w:val="21"/>
          <w:lang w:val="en-US" w:eastAsia="zh-CN"/>
        </w:rPr>
        <w:t>g/m</w:t>
      </w:r>
      <w:r>
        <w:rPr>
          <w:rFonts w:hint="eastAsia" w:ascii="Times New Roman" w:hAnsi="Times New Roman"/>
          <w:b w:val="0"/>
          <w:bCs w:val="0"/>
          <w:sz w:val="21"/>
          <w:szCs w:val="21"/>
          <w:vertAlign w:val="superscript"/>
          <w:lang w:val="en-US" w:eastAsia="zh-CN"/>
        </w:rPr>
        <w:t>3</w:t>
      </w:r>
      <w:r>
        <w:rPr>
          <w:rFonts w:hint="eastAsia" w:ascii="Times New Roman" w:hAnsi="Times New Roman"/>
          <w:b w:val="0"/>
          <w:bCs w:val="0"/>
          <w:sz w:val="21"/>
          <w:szCs w:val="21"/>
          <w:lang w:val="en-US" w:eastAsia="zh-CN"/>
        </w:rPr>
        <w:t>, respectively. These metrics confirm the robust predictive capability of the MGWR model for this region.</w:t>
      </w:r>
    </w:p>
    <w:p w14:paraId="5C040A33">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default"/>
          <w:sz w:val="21"/>
          <w:szCs w:val="21"/>
          <w:lang w:val="en-US" w:eastAsia="zh-CN"/>
        </w:rPr>
      </w:pPr>
      <w:r>
        <w:rPr>
          <w:rFonts w:hint="default"/>
          <w:sz w:val="21"/>
          <w:szCs w:val="21"/>
          <w:lang w:val="en-US" w:eastAsia="zh-CN"/>
        </w:rPr>
        <w:drawing>
          <wp:inline distT="0" distB="0" distL="114300" distR="114300">
            <wp:extent cx="5271135" cy="2601595"/>
            <wp:effectExtent l="0" t="0" r="12065" b="1905"/>
            <wp:docPr id="4" name="图片 4" descr="observed_vs_predicted_panel_Eastern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bserved_vs_predicted_panel_Eastern_2010_2020"/>
                    <pic:cNvPicPr>
                      <a:picLocks noChangeAspect="1"/>
                    </pic:cNvPicPr>
                  </pic:nvPicPr>
                  <pic:blipFill>
                    <a:blip r:embed="rId16"/>
                    <a:stretch>
                      <a:fillRect/>
                    </a:stretch>
                  </pic:blipFill>
                  <pic:spPr>
                    <a:xfrm>
                      <a:off x="0" y="0"/>
                      <a:ext cx="5271135" cy="2601595"/>
                    </a:xfrm>
                    <a:prstGeom prst="rect">
                      <a:avLst/>
                    </a:prstGeom>
                  </pic:spPr>
                </pic:pic>
              </a:graphicData>
            </a:graphic>
          </wp:inline>
        </w:drawing>
      </w:r>
    </w:p>
    <w:p w14:paraId="118DD94F">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textAlignment w:val="auto"/>
        <w:rPr>
          <w:rFonts w:hint="eastAsia" w:ascii="Times New Roman" w:hAnsi="Times New Roman"/>
          <w:b w:val="0"/>
          <w:bCs w:val="0"/>
          <w:sz w:val="21"/>
          <w:szCs w:val="21"/>
          <w:lang w:val="en-US" w:eastAsia="zh-CN"/>
        </w:rPr>
      </w:pPr>
      <w:r>
        <w:rPr>
          <w:rFonts w:hint="default" w:ascii="Times New Roman" w:hAnsi="Times New Roman"/>
          <w:b/>
          <w:bCs/>
          <w:sz w:val="21"/>
          <w:szCs w:val="21"/>
          <w:lang w:val="en-US" w:eastAsia="zh-CN"/>
        </w:rPr>
        <w:t>Supplementary Figure S11. MGWR model validation for ozone concentrations in E</w:t>
      </w:r>
      <w:r>
        <w:rPr>
          <w:rFonts w:hint="eastAsia" w:ascii="Times New Roman" w:hAnsi="Times New Roman"/>
          <w:b/>
          <w:bCs/>
          <w:sz w:val="21"/>
          <w:szCs w:val="21"/>
          <w:lang w:val="en-US" w:eastAsia="zh-CN"/>
        </w:rPr>
        <w:t>ST</w:t>
      </w:r>
      <w:r>
        <w:rPr>
          <w:rFonts w:hint="default" w:ascii="Times New Roman" w:hAnsi="Times New Roman"/>
          <w:b/>
          <w:bCs/>
          <w:sz w:val="21"/>
          <w:szCs w:val="21"/>
          <w:lang w:val="en-US" w:eastAsia="zh-CN"/>
        </w:rPr>
        <w:t xml:space="preserve"> .</w:t>
      </w:r>
      <w:r>
        <w:rPr>
          <w:rFonts w:hint="eastAsia" w:ascii="Times New Roman" w:hAnsi="Times New Roman"/>
          <w:b/>
          <w:bCs/>
          <w:sz w:val="21"/>
          <w:szCs w:val="21"/>
          <w:lang w:val="en-US" w:eastAsia="zh-CN"/>
        </w:rPr>
        <w:t xml:space="preserve"> </w:t>
      </w:r>
      <w:r>
        <w:rPr>
          <w:rFonts w:hint="default" w:ascii="Times New Roman" w:hAnsi="Times New Roman"/>
          <w:b w:val="0"/>
          <w:bCs w:val="0"/>
          <w:sz w:val="21"/>
          <w:szCs w:val="21"/>
          <w:lang w:val="en-US" w:eastAsia="zh-CN"/>
        </w:rPr>
        <w:t>Scatter plots of observed versus predicted MDA8 O</w:t>
      </w:r>
      <w:r>
        <w:rPr>
          <w:rFonts w:hint="eastAsia" w:ascii="Times New Roman" w:hAnsi="Times New Roman"/>
          <w:b w:val="0"/>
          <w:bCs w:val="0"/>
          <w:sz w:val="21"/>
          <w:szCs w:val="21"/>
          <w:vertAlign w:val="subscript"/>
          <w:lang w:val="en-US" w:eastAsia="zh-CN"/>
        </w:rPr>
        <w:t>3</w:t>
      </w:r>
      <w:r>
        <w:rPr>
          <w:rFonts w:hint="default" w:ascii="Times New Roman" w:hAnsi="Times New Roman"/>
          <w:b w:val="0"/>
          <w:bCs w:val="0"/>
          <w:sz w:val="21"/>
          <w:szCs w:val="21"/>
          <w:lang w:val="en-US" w:eastAsia="zh-CN"/>
        </w:rPr>
        <w:t xml:space="preserve"> concentrations for 2010 (a) and 2020 (b). The model achieves R</w:t>
      </w:r>
      <w:r>
        <w:rPr>
          <w:rFonts w:hint="eastAsia" w:ascii="Times New Roman" w:hAnsi="Times New Roman"/>
          <w:b w:val="0"/>
          <w:bCs w:val="0"/>
          <w:sz w:val="21"/>
          <w:szCs w:val="21"/>
          <w:vertAlign w:val="superscript"/>
          <w:lang w:val="en-US" w:eastAsia="zh-CN"/>
        </w:rPr>
        <w:t>2</w:t>
      </w:r>
      <w:r>
        <w:rPr>
          <w:rFonts w:hint="default" w:ascii="Times New Roman" w:hAnsi="Times New Roman"/>
          <w:b w:val="0"/>
          <w:bCs w:val="0"/>
          <w:sz w:val="21"/>
          <w:szCs w:val="21"/>
          <w:lang w:val="en-US" w:eastAsia="zh-CN"/>
        </w:rPr>
        <w:t xml:space="preserve"> values of 0.984 (2010) and 0.976 (2020), with RMSE values of 2.7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3.3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and MAE values of 2.04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2.61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respectively. The strong alignment of data points along the 1:1 reference line confirms the excellent predictive performance of the MGWR model for this region.</w:t>
      </w:r>
    </w:p>
    <w:p w14:paraId="09864096">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default"/>
          <w:sz w:val="21"/>
          <w:szCs w:val="21"/>
          <w:lang w:val="en-US" w:eastAsia="zh-CN"/>
        </w:rPr>
      </w:pPr>
      <w:r>
        <w:rPr>
          <w:rFonts w:hint="default"/>
          <w:sz w:val="21"/>
          <w:szCs w:val="21"/>
          <w:lang w:val="en-US" w:eastAsia="zh-CN"/>
        </w:rPr>
        <w:drawing>
          <wp:inline distT="0" distB="0" distL="114300" distR="114300">
            <wp:extent cx="5271135" cy="2632710"/>
            <wp:effectExtent l="0" t="0" r="12065" b="8890"/>
            <wp:docPr id="5" name="图片 5" descr="observed_vs_predicted_panel_DongBei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observed_vs_predicted_panel_DongBei_2010_2020"/>
                    <pic:cNvPicPr>
                      <a:picLocks noChangeAspect="1"/>
                    </pic:cNvPicPr>
                  </pic:nvPicPr>
                  <pic:blipFill>
                    <a:blip r:embed="rId17"/>
                    <a:stretch>
                      <a:fillRect/>
                    </a:stretch>
                  </pic:blipFill>
                  <pic:spPr>
                    <a:xfrm>
                      <a:off x="0" y="0"/>
                      <a:ext cx="5271135" cy="2632710"/>
                    </a:xfrm>
                    <a:prstGeom prst="rect">
                      <a:avLst/>
                    </a:prstGeom>
                  </pic:spPr>
                </pic:pic>
              </a:graphicData>
            </a:graphic>
          </wp:inline>
        </w:drawing>
      </w:r>
    </w:p>
    <w:p w14:paraId="564795AF">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textAlignment w:val="auto"/>
        <w:rPr>
          <w:rFonts w:hint="default" w:ascii="Times New Roman" w:hAnsi="Times New Roman"/>
          <w:b w:val="0"/>
          <w:bCs w:val="0"/>
          <w:sz w:val="21"/>
          <w:szCs w:val="21"/>
          <w:lang w:val="en-US" w:eastAsia="zh-CN"/>
        </w:rPr>
      </w:pPr>
      <w:r>
        <w:rPr>
          <w:rFonts w:hint="default" w:ascii="Times New Roman" w:hAnsi="Times New Roman"/>
          <w:b/>
          <w:bCs/>
          <w:sz w:val="21"/>
          <w:szCs w:val="21"/>
          <w:lang w:val="en-US" w:eastAsia="zh-CN"/>
        </w:rPr>
        <w:t>Supplementary Figure S12. MGWR model validation for ozone concentrations in N</w:t>
      </w:r>
      <w:r>
        <w:rPr>
          <w:rFonts w:hint="eastAsia" w:ascii="Times New Roman" w:hAnsi="Times New Roman"/>
          <w:b/>
          <w:bCs/>
          <w:sz w:val="21"/>
          <w:szCs w:val="21"/>
          <w:lang w:val="en-US" w:eastAsia="zh-CN"/>
        </w:rPr>
        <w:t>EP</w:t>
      </w:r>
      <w:r>
        <w:rPr>
          <w:rFonts w:hint="default" w:ascii="Times New Roman" w:hAnsi="Times New Roman"/>
          <w:b/>
          <w:bCs/>
          <w:sz w:val="21"/>
          <w:szCs w:val="21"/>
          <w:lang w:val="en-US" w:eastAsia="zh-CN"/>
        </w:rPr>
        <w:t xml:space="preserve"> .</w:t>
      </w:r>
      <w:r>
        <w:rPr>
          <w:rFonts w:hint="eastAsia" w:ascii="Times New Roman" w:hAnsi="Times New Roman"/>
          <w:b/>
          <w:bCs/>
          <w:sz w:val="21"/>
          <w:szCs w:val="21"/>
          <w:lang w:val="en-US" w:eastAsia="zh-CN"/>
        </w:rPr>
        <w:t xml:space="preserve"> </w:t>
      </w:r>
      <w:r>
        <w:rPr>
          <w:rFonts w:hint="default" w:ascii="Times New Roman" w:hAnsi="Times New Roman"/>
          <w:b w:val="0"/>
          <w:bCs w:val="0"/>
          <w:sz w:val="21"/>
          <w:szCs w:val="21"/>
          <w:lang w:val="en-US" w:eastAsia="zh-CN"/>
        </w:rPr>
        <w:t>Scatter plots of observed versus predicted MDA8 O</w:t>
      </w:r>
      <w:r>
        <w:rPr>
          <w:rFonts w:hint="eastAsia" w:ascii="Times New Roman" w:hAnsi="Times New Roman"/>
          <w:b w:val="0"/>
          <w:bCs w:val="0"/>
          <w:sz w:val="21"/>
          <w:szCs w:val="21"/>
          <w:vertAlign w:val="subscript"/>
          <w:lang w:val="en-US" w:eastAsia="zh-CN"/>
        </w:rPr>
        <w:t>3</w:t>
      </w:r>
      <w:r>
        <w:rPr>
          <w:rFonts w:hint="default" w:ascii="Times New Roman" w:hAnsi="Times New Roman"/>
          <w:b w:val="0"/>
          <w:bCs w:val="0"/>
          <w:sz w:val="21"/>
          <w:szCs w:val="21"/>
          <w:lang w:val="en-US" w:eastAsia="zh-CN"/>
        </w:rPr>
        <w:t xml:space="preserve"> concentrations for 2010 (a) and 2020 (b). The model exhibits outstanding predictive accuracy, with R</w:t>
      </w:r>
      <w:r>
        <w:rPr>
          <w:rFonts w:hint="eastAsia" w:ascii="Times New Roman" w:hAnsi="Times New Roman"/>
          <w:b w:val="0"/>
          <w:bCs w:val="0"/>
          <w:sz w:val="21"/>
          <w:szCs w:val="21"/>
          <w:vertAlign w:val="superscript"/>
          <w:lang w:val="en-US" w:eastAsia="zh-CN"/>
        </w:rPr>
        <w:t>2</w:t>
      </w:r>
      <w:r>
        <w:rPr>
          <w:rFonts w:hint="default" w:ascii="Times New Roman" w:hAnsi="Times New Roman"/>
          <w:b w:val="0"/>
          <w:bCs w:val="0"/>
          <w:sz w:val="21"/>
          <w:szCs w:val="21"/>
          <w:lang w:val="en-US" w:eastAsia="zh-CN"/>
        </w:rPr>
        <w:t xml:space="preserve"> values of 0.994 (2010) and 0.996 (2020), RMSE values of 1.2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1.4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and MAE values of 0.91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1.03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These results indicate near-perfect model fit.</w:t>
      </w:r>
    </w:p>
    <w:p w14:paraId="5186D60A">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sz w:val="21"/>
          <w:szCs w:val="21"/>
          <w:lang w:val="en-US" w:eastAsia="zh-CN"/>
        </w:rPr>
      </w:pPr>
    </w:p>
    <w:p w14:paraId="3F0DD6D8">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default"/>
          <w:sz w:val="21"/>
          <w:szCs w:val="21"/>
          <w:lang w:val="en-US" w:eastAsia="zh-CN"/>
        </w:rPr>
      </w:pPr>
      <w:r>
        <w:rPr>
          <w:rFonts w:hint="default"/>
          <w:sz w:val="21"/>
          <w:szCs w:val="21"/>
          <w:lang w:val="en-US" w:eastAsia="zh-CN"/>
        </w:rPr>
        <w:drawing>
          <wp:inline distT="0" distB="0" distL="114300" distR="114300">
            <wp:extent cx="5271135" cy="2632710"/>
            <wp:effectExtent l="0" t="0" r="12065" b="8890"/>
            <wp:docPr id="6" name="图片 6" descr="observed_vs_predicted_panel_PRD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observed_vs_predicted_panel_PRD_2010_2020"/>
                    <pic:cNvPicPr>
                      <a:picLocks noChangeAspect="1"/>
                    </pic:cNvPicPr>
                  </pic:nvPicPr>
                  <pic:blipFill>
                    <a:blip r:embed="rId18"/>
                    <a:stretch>
                      <a:fillRect/>
                    </a:stretch>
                  </pic:blipFill>
                  <pic:spPr>
                    <a:xfrm>
                      <a:off x="0" y="0"/>
                      <a:ext cx="5271135" cy="2632710"/>
                    </a:xfrm>
                    <a:prstGeom prst="rect">
                      <a:avLst/>
                    </a:prstGeom>
                  </pic:spPr>
                </pic:pic>
              </a:graphicData>
            </a:graphic>
          </wp:inline>
        </w:drawing>
      </w:r>
    </w:p>
    <w:p w14:paraId="3CB8D71F">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textAlignment w:val="auto"/>
        <w:rPr>
          <w:rFonts w:hint="eastAsia" w:ascii="Times New Roman" w:hAnsi="Times New Roman"/>
          <w:b w:val="0"/>
          <w:bCs w:val="0"/>
          <w:sz w:val="21"/>
          <w:szCs w:val="21"/>
          <w:lang w:val="en-US" w:eastAsia="zh-CN"/>
        </w:rPr>
      </w:pPr>
      <w:r>
        <w:rPr>
          <w:rFonts w:hint="default" w:ascii="Times New Roman" w:hAnsi="Times New Roman"/>
          <w:b/>
          <w:bCs/>
          <w:sz w:val="21"/>
          <w:szCs w:val="21"/>
          <w:lang w:val="en-US" w:eastAsia="zh-CN"/>
        </w:rPr>
        <w:t xml:space="preserve">Supplementary Figure S13. MGWR model validation for ozone concentrations in PRD </w:t>
      </w:r>
      <w:r>
        <w:rPr>
          <w:rFonts w:hint="default" w:ascii="Times New Roman" w:hAnsi="Times New Roman"/>
          <w:b w:val="0"/>
          <w:bCs w:val="0"/>
          <w:sz w:val="21"/>
          <w:szCs w:val="21"/>
          <w:lang w:val="en-US" w:eastAsia="zh-CN"/>
        </w:rPr>
        <w:t>.</w:t>
      </w:r>
      <w:r>
        <w:rPr>
          <w:rFonts w:hint="eastAsia" w:ascii="Times New Roman" w:hAnsi="Times New Roman"/>
          <w:b w:val="0"/>
          <w:bCs w:val="0"/>
          <w:sz w:val="21"/>
          <w:szCs w:val="21"/>
          <w:lang w:val="en-US" w:eastAsia="zh-CN"/>
        </w:rPr>
        <w:t xml:space="preserve"> </w:t>
      </w:r>
      <w:r>
        <w:rPr>
          <w:rFonts w:hint="default" w:ascii="Times New Roman" w:hAnsi="Times New Roman"/>
          <w:b w:val="0"/>
          <w:bCs w:val="0"/>
          <w:sz w:val="21"/>
          <w:szCs w:val="21"/>
          <w:lang w:val="en-US" w:eastAsia="zh-CN"/>
        </w:rPr>
        <w:t>Scatter plots of observed versus predicted MDA8 O</w:t>
      </w:r>
      <w:r>
        <w:rPr>
          <w:rFonts w:hint="eastAsia" w:ascii="Times New Roman" w:hAnsi="Times New Roman"/>
          <w:b w:val="0"/>
          <w:bCs w:val="0"/>
          <w:sz w:val="21"/>
          <w:szCs w:val="21"/>
          <w:vertAlign w:val="subscript"/>
          <w:lang w:val="en-US" w:eastAsia="zh-CN"/>
        </w:rPr>
        <w:t>3</w:t>
      </w:r>
      <w:r>
        <w:rPr>
          <w:rFonts w:hint="default" w:ascii="Times New Roman" w:hAnsi="Times New Roman"/>
          <w:b w:val="0"/>
          <w:bCs w:val="0"/>
          <w:sz w:val="21"/>
          <w:szCs w:val="21"/>
          <w:lang w:val="en-US" w:eastAsia="zh-CN"/>
        </w:rPr>
        <w:t xml:space="preserve"> concentrations for 2010 (a) and 2020 (b). The R</w:t>
      </w:r>
      <w:r>
        <w:rPr>
          <w:rFonts w:hint="eastAsia" w:ascii="Times New Roman" w:hAnsi="Times New Roman"/>
          <w:b w:val="0"/>
          <w:bCs w:val="0"/>
          <w:sz w:val="21"/>
          <w:szCs w:val="21"/>
          <w:vertAlign w:val="superscript"/>
          <w:lang w:val="en-US" w:eastAsia="zh-CN"/>
        </w:rPr>
        <w:t>2</w:t>
      </w:r>
      <w:r>
        <w:rPr>
          <w:rFonts w:hint="default" w:ascii="Times New Roman" w:hAnsi="Times New Roman"/>
          <w:b w:val="0"/>
          <w:bCs w:val="0"/>
          <w:sz w:val="21"/>
          <w:szCs w:val="21"/>
          <w:lang w:val="en-US" w:eastAsia="zh-CN"/>
        </w:rPr>
        <w:t xml:space="preserve"> values are 0.973 (2010) and 0.958 (2020), with RMSE values of 2.2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2.4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and MAE values of 1.69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1.72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The satisfactory performance confirms the model's applicability for this region.</w:t>
      </w:r>
    </w:p>
    <w:p w14:paraId="50D1433A">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default"/>
          <w:sz w:val="21"/>
          <w:szCs w:val="21"/>
          <w:lang w:val="en-US" w:eastAsia="zh-CN"/>
        </w:rPr>
      </w:pPr>
      <w:r>
        <w:rPr>
          <w:rFonts w:hint="default"/>
          <w:sz w:val="21"/>
          <w:szCs w:val="21"/>
          <w:lang w:val="en-US" w:eastAsia="zh-CN"/>
        </w:rPr>
        <w:drawing>
          <wp:inline distT="0" distB="0" distL="114300" distR="114300">
            <wp:extent cx="5271135" cy="2632710"/>
            <wp:effectExtent l="0" t="0" r="12065" b="8890"/>
            <wp:docPr id="8" name="图片 8" descr="observed_vs_predicted_panel_2010_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observed_vs_predicted_panel_2010_2020"/>
                    <pic:cNvPicPr>
                      <a:picLocks noChangeAspect="1"/>
                    </pic:cNvPicPr>
                  </pic:nvPicPr>
                  <pic:blipFill>
                    <a:blip r:embed="rId19"/>
                    <a:stretch>
                      <a:fillRect/>
                    </a:stretch>
                  </pic:blipFill>
                  <pic:spPr>
                    <a:xfrm>
                      <a:off x="0" y="0"/>
                      <a:ext cx="5271135" cy="2632710"/>
                    </a:xfrm>
                    <a:prstGeom prst="rect">
                      <a:avLst/>
                    </a:prstGeom>
                  </pic:spPr>
                </pic:pic>
              </a:graphicData>
            </a:graphic>
          </wp:inline>
        </w:drawing>
      </w:r>
    </w:p>
    <w:p w14:paraId="0A55CD99">
      <w:pPr>
        <w:keepNext w:val="0"/>
        <w:keepLines w:val="0"/>
        <w:pageBreakBefore w:val="0"/>
        <w:widowControl w:val="0"/>
        <w:kinsoku/>
        <w:wordWrap/>
        <w:overflowPunct/>
        <w:topLinePunct w:val="0"/>
        <w:autoSpaceDE/>
        <w:autoSpaceDN/>
        <w:bidi w:val="0"/>
        <w:adjustRightInd/>
        <w:snapToGrid/>
        <w:spacing w:line="400" w:lineRule="exact"/>
        <w:ind w:left="0" w:leftChars="0" w:firstLine="422" w:firstLineChars="200"/>
        <w:textAlignment w:val="auto"/>
        <w:rPr>
          <w:rFonts w:hint="default" w:ascii="Times New Roman" w:hAnsi="Times New Roman"/>
          <w:b w:val="0"/>
          <w:bCs w:val="0"/>
          <w:sz w:val="21"/>
          <w:szCs w:val="21"/>
          <w:lang w:val="en-US" w:eastAsia="zh-CN"/>
        </w:rPr>
      </w:pPr>
      <w:r>
        <w:rPr>
          <w:rFonts w:hint="default" w:ascii="Times New Roman" w:hAnsi="Times New Roman"/>
          <w:b/>
          <w:bCs/>
          <w:sz w:val="21"/>
          <w:szCs w:val="21"/>
          <w:lang w:val="en-US" w:eastAsia="zh-CN"/>
        </w:rPr>
        <w:t xml:space="preserve">Supplementary Figure S14. MGWR model validation for ozone concentrations in SCB </w:t>
      </w:r>
      <w:r>
        <w:rPr>
          <w:rFonts w:hint="default" w:ascii="Times New Roman" w:hAnsi="Times New Roman"/>
          <w:b w:val="0"/>
          <w:bCs w:val="0"/>
          <w:sz w:val="21"/>
          <w:szCs w:val="21"/>
          <w:lang w:val="en-US" w:eastAsia="zh-CN"/>
        </w:rPr>
        <w:t>.</w:t>
      </w:r>
      <w:r>
        <w:rPr>
          <w:rFonts w:hint="eastAsia" w:ascii="Times New Roman" w:hAnsi="Times New Roman"/>
          <w:b w:val="0"/>
          <w:bCs w:val="0"/>
          <w:sz w:val="21"/>
          <w:szCs w:val="21"/>
          <w:lang w:val="en-US" w:eastAsia="zh-CN"/>
        </w:rPr>
        <w:t xml:space="preserve"> </w:t>
      </w:r>
      <w:r>
        <w:rPr>
          <w:rFonts w:hint="default" w:ascii="Times New Roman" w:hAnsi="Times New Roman"/>
          <w:b w:val="0"/>
          <w:bCs w:val="0"/>
          <w:sz w:val="21"/>
          <w:szCs w:val="21"/>
          <w:lang w:val="en-US" w:eastAsia="zh-CN"/>
        </w:rPr>
        <w:t>Scatter plots of observed versus predicted MDA8 O</w:t>
      </w:r>
      <w:r>
        <w:rPr>
          <w:rFonts w:hint="eastAsia" w:ascii="Times New Roman" w:hAnsi="Times New Roman"/>
          <w:b w:val="0"/>
          <w:bCs w:val="0"/>
          <w:sz w:val="21"/>
          <w:szCs w:val="21"/>
          <w:vertAlign w:val="subscript"/>
          <w:lang w:val="en-US" w:eastAsia="zh-CN"/>
        </w:rPr>
        <w:t>3</w:t>
      </w:r>
      <w:r>
        <w:rPr>
          <w:rFonts w:hint="default" w:ascii="Times New Roman" w:hAnsi="Times New Roman"/>
          <w:b w:val="0"/>
          <w:bCs w:val="0"/>
          <w:sz w:val="21"/>
          <w:szCs w:val="21"/>
          <w:lang w:val="en-US" w:eastAsia="zh-CN"/>
        </w:rPr>
        <w:t xml:space="preserve"> concentrations for 2010 (a) and 2020 (b). The R</w:t>
      </w:r>
      <w:r>
        <w:rPr>
          <w:rFonts w:hint="eastAsia" w:ascii="Times New Roman" w:hAnsi="Times New Roman"/>
          <w:b w:val="0"/>
          <w:bCs w:val="0"/>
          <w:sz w:val="21"/>
          <w:szCs w:val="21"/>
          <w:vertAlign w:val="superscript"/>
          <w:lang w:val="en-US" w:eastAsia="zh-CN"/>
        </w:rPr>
        <w:t>2</w:t>
      </w:r>
      <w:r>
        <w:rPr>
          <w:rFonts w:hint="default" w:ascii="Times New Roman" w:hAnsi="Times New Roman"/>
          <w:b w:val="0"/>
          <w:bCs w:val="0"/>
          <w:sz w:val="21"/>
          <w:szCs w:val="21"/>
          <w:lang w:val="en-US" w:eastAsia="zh-CN"/>
        </w:rPr>
        <w:t xml:space="preserve"> values are 0.957 (2010) and 0.984 (2020), with RMSE of 2.2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and 2.3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and MAE of 1.68 μg/m</w:t>
      </w:r>
      <w:r>
        <w:rPr>
          <w:rFonts w:hint="eastAsia" w:ascii="Times New Roman" w:hAnsi="Times New Roman"/>
          <w:b w:val="0"/>
          <w:bCs w:val="0"/>
          <w:sz w:val="21"/>
          <w:szCs w:val="21"/>
          <w:vertAlign w:val="superscript"/>
          <w:lang w:val="en-US" w:eastAsia="zh-CN"/>
        </w:rPr>
        <w:t>3</w:t>
      </w:r>
      <w:r>
        <w:rPr>
          <w:rFonts w:hint="default" w:ascii="Times New Roman" w:hAnsi="Times New Roman"/>
          <w:b w:val="0"/>
          <w:bCs w:val="0"/>
          <w:sz w:val="21"/>
          <w:szCs w:val="21"/>
          <w:lang w:val="en-US" w:eastAsia="zh-CN"/>
        </w:rPr>
        <w:t xml:space="preserve"> for both years. The strong alignment of data points along the 1:1 line confirms the reliability of the MGWR approach for ozone prediction in this basin region.</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7F7013"/>
    <w:rsid w:val="10265FE1"/>
    <w:rsid w:val="127F7013"/>
    <w:rsid w:val="2536780A"/>
    <w:rsid w:val="31C47BEC"/>
    <w:rsid w:val="3B573A9C"/>
    <w:rsid w:val="402C1A6D"/>
    <w:rsid w:val="491F7C74"/>
    <w:rsid w:val="51BA7EA1"/>
    <w:rsid w:val="596C2A61"/>
    <w:rsid w:val="63BC45E5"/>
    <w:rsid w:val="6F524050"/>
    <w:rsid w:val="6F9D1D10"/>
    <w:rsid w:val="74F46BE0"/>
    <w:rsid w:val="7C8D4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left"/>
    </w:pPr>
    <w:rPr>
      <w:rFonts w:ascii="Times New Roman" w:hAnsi="Times New Roman" w:eastAsia="宋体" w:cstheme="minorBidi"/>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aper title"/>
    <w:basedOn w:val="1"/>
    <w:autoRedefine/>
    <w:qFormat/>
    <w:uiPriority w:val="0"/>
    <w:pPr>
      <w:autoSpaceDE w:val="0"/>
      <w:autoSpaceDN w:val="0"/>
      <w:adjustRightInd w:val="0"/>
      <w:jc w:val="center"/>
      <w:outlineLvl w:val="0"/>
    </w:pPr>
    <w:rPr>
      <w:b/>
      <w:bCs/>
      <w:sz w:val="28"/>
      <w:szCs w:val="41"/>
    </w:rPr>
  </w:style>
  <w:style w:type="paragraph" w:customStyle="1" w:styleId="5">
    <w:name w:val="Authors"/>
    <w:basedOn w:val="1"/>
    <w:qFormat/>
    <w:uiPriority w:val="0"/>
    <w:pPr>
      <w:autoSpaceDE w:val="0"/>
      <w:autoSpaceDN w:val="0"/>
      <w:adjustRightInd w:val="0"/>
      <w:spacing w:before="240"/>
      <w:jc w:val="center"/>
      <w:outlineLvl w:val="0"/>
    </w:pPr>
    <w:rPr>
      <w:szCs w:val="29"/>
    </w:rPr>
  </w:style>
  <w:style w:type="paragraph" w:customStyle="1" w:styleId="6">
    <w:name w:val="表注"/>
    <w:next w:val="1"/>
    <w:qFormat/>
    <w:uiPriority w:val="0"/>
    <w:pPr>
      <w:keepNext w:val="0"/>
      <w:keepLines/>
      <w:widowControl w:val="0"/>
      <w:spacing w:beforeAutospacing="0" w:afterAutospacing="0" w:line="400" w:lineRule="exact"/>
      <w:ind w:firstLine="0" w:firstLineChars="0"/>
      <w:jc w:val="center"/>
      <w:outlineLvl w:val="0"/>
    </w:pPr>
    <w:rPr>
      <w:rFonts w:hint="eastAsia" w:ascii="Times New Roman" w:hAnsi="Times New Roman" w:eastAsia="宋体" w:cstheme="minorBidi"/>
      <w:bCs/>
      <w:kern w:val="44"/>
      <w:sz w:val="21"/>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1178</Words>
  <Characters>6795</Characters>
  <Lines>0</Lines>
  <Paragraphs>0</Paragraphs>
  <TotalTime>5</TotalTime>
  <ScaleCrop>false</ScaleCrop>
  <LinksUpToDate>false</LinksUpToDate>
  <CharactersWithSpaces>7947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2026-07-07T14:51:00Z</dcterms:created>
  <dc:creator>onlyyou</dc:creator>
  <cp:lastModifiedBy>onlyyou</cp:lastModifiedBy>
  <dcterms:modified xsi:type="dcterms:W3CDTF">2026-07-25T07:35:51Z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BBD5527C5C774EF1A6987124587A6399_13</vt:lpwstr>
  </property>
  <property fmtid="{D5CDD505-2E9C-101B-9397-08002B2CF9AE}" pid="4" name="KSOTemplateDocerSaveRecord">
    <vt:lpwstr>eyJoZGlkIjoiZjJlMmFkYTU3OGVhNWZmNDA5ZjgyNjI1ZjAwZTAyNjgiLCJ1c2VySWQiOiIxMTU1NTM5Nzg3In0=</vt:lpwstr>
  </property>
</Properties>
</file>