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AE563" w14:textId="77777777" w:rsidR="007848AD" w:rsidRDefault="00000000">
      <w:pPr>
        <w:pStyle w:val="Ttulo1"/>
        <w:spacing w:before="0" w:after="120"/>
      </w:pPr>
      <w:r>
        <w:rPr>
          <w:rFonts w:ascii="Times New Roman" w:eastAsia="Times New Roman" w:hAnsi="Times New Roman"/>
          <w:color w:val="000000"/>
          <w:sz w:val="20"/>
        </w:rPr>
        <w:t>Supplementary material</w:t>
      </w:r>
    </w:p>
    <w:p w14:paraId="3CDF0119" w14:textId="77777777" w:rsidR="007848AD" w:rsidRDefault="00000000">
      <w:pPr>
        <w:spacing w:after="120"/>
      </w:pPr>
      <w:r>
        <w:rPr>
          <w:color w:val="000000"/>
        </w:rPr>
        <w:t>Journal: Irrigation Science</w:t>
      </w:r>
    </w:p>
    <w:p w14:paraId="5239F8C4" w14:textId="77777777" w:rsidR="007848AD" w:rsidRDefault="00000000">
      <w:pPr>
        <w:spacing w:after="120"/>
      </w:pPr>
      <w:r>
        <w:rPr>
          <w:color w:val="000000"/>
        </w:rPr>
        <w:t>Article: Beyond SAR: evaluating CROSS for predicting soil structural stability under recycled water irrigation</w:t>
      </w:r>
    </w:p>
    <w:p w14:paraId="15096B7F" w14:textId="77777777" w:rsidR="00FE304D" w:rsidRPr="00F4309D" w:rsidRDefault="00FE304D" w:rsidP="00FE304D">
      <w:pPr>
        <w:spacing w:after="120"/>
        <w:jc w:val="both"/>
      </w:pPr>
      <w:r w:rsidRPr="00F4309D">
        <w:rPr>
          <w:noProof/>
          <w:color w:val="000000"/>
        </w:rPr>
        <w:drawing>
          <wp:inline distT="0" distB="0" distL="0" distR="0" wp14:anchorId="461696DD" wp14:editId="6BA66770">
            <wp:extent cx="5943600" cy="3786505"/>
            <wp:effectExtent l="0" t="0" r="0" b="0"/>
            <wp:docPr id="1929307133" name="Picture 37" descr="A group of graphs with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508076" name="Picture 37" descr="A group of graphs with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D9705" w14:textId="77777777" w:rsidR="00D27975" w:rsidRPr="00D27975" w:rsidRDefault="00D27975" w:rsidP="00D27975">
      <w:pPr>
        <w:pStyle w:val="Ttulo1"/>
        <w:spacing w:before="0" w:after="120"/>
        <w:rPr>
          <w:b/>
          <w:bCs/>
          <w:color w:val="000000"/>
        </w:rPr>
      </w:pPr>
      <w:r>
        <w:rPr>
          <w:rFonts w:ascii="Times New Roman" w:eastAsia="Times New Roman" w:hAnsi="Times New Roman"/>
          <w:color w:val="000000"/>
          <w:sz w:val="20"/>
        </w:rPr>
        <w:t>Online Resource 1</w:t>
      </w:r>
    </w:p>
    <w:p w14:paraId="784750E9" w14:textId="77777777" w:rsidR="00FE304D" w:rsidRPr="00F4309D" w:rsidRDefault="00FE304D" w:rsidP="00FE304D">
      <w:pPr>
        <w:pStyle w:val="NormalWeb"/>
        <w:spacing w:before="0" w:after="120"/>
        <w:jc w:val="both"/>
        <w:rPr>
          <w:color w:val="000000"/>
        </w:rPr>
      </w:pPr>
      <w:r>
        <w:rPr>
          <w:color w:val="000000"/>
        </w:rPr>
        <w:t>Temporal evolution of the percentage of pots with standing water measured before irrigation events during weeks 26-38 of the greenhouse experiment. Panels show (a) all treatments, (b) 0-SAR treatments and T1, (c) treatments with SAR = 4.9 and (d) treatments with SAR = 9.8.</w:t>
      </w:r>
    </w:p>
    <w:p w14:paraId="62F80064" w14:textId="77777777" w:rsidR="0076742D" w:rsidRPr="0076742D" w:rsidRDefault="0076742D" w:rsidP="0076742D">
      <w:pPr>
        <w:spacing w:after="120"/>
      </w:pPr>
      <w:r w:rsidRPr="0076742D">
        <w:rPr>
          <w:noProof/>
          <w:color w:val="000000"/>
        </w:rPr>
        <w:lastRenderedPageBreak/>
        <w:drawing>
          <wp:inline distT="0" distB="0" distL="0" distR="0" wp14:anchorId="7ACD0F13" wp14:editId="27C85685">
            <wp:extent cx="5943600" cy="3816985"/>
            <wp:effectExtent l="0" t="0" r="0" b="5715"/>
            <wp:docPr id="1481868507" name="Picture 38" descr="A group of graphs showing different types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74784" name="Picture 38" descr="A group of graphs showing different types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3DF02" w14:textId="77777777" w:rsidR="0076742D" w:rsidRPr="00D27975" w:rsidRDefault="0076742D" w:rsidP="0076742D">
      <w:pPr>
        <w:pStyle w:val="Ttulo1"/>
        <w:spacing w:before="0" w:after="120"/>
        <w:rPr>
          <w:b/>
          <w:bCs/>
          <w:color w:val="000000"/>
        </w:rPr>
      </w:pPr>
      <w:r>
        <w:rPr>
          <w:rFonts w:ascii="Times New Roman" w:eastAsia="Times New Roman" w:hAnsi="Times New Roman"/>
          <w:color w:val="000000"/>
          <w:sz w:val="20"/>
        </w:rPr>
        <w:t>Online Resource 2</w:t>
      </w:r>
    </w:p>
    <w:p w14:paraId="63FF3208" w14:textId="77777777" w:rsidR="0076742D" w:rsidRPr="0076742D" w:rsidRDefault="00F3538B" w:rsidP="0076742D">
      <w:pPr>
        <w:spacing w:after="120"/>
      </w:pPr>
      <w:r>
        <w:rPr>
          <w:color w:val="000000"/>
        </w:rPr>
        <w:t>Temporal evolution of standing water occurrence during the 39-h drainage period after irrigation termination. Panels show (a) all treatments, (b) 0-SAR treatments and T1, (c) treatments with SAR = 4.9 and (d) treatments with SAR = 9.8.</w:t>
      </w:r>
    </w:p>
    <w:sectPr w:rsidR="0076742D" w:rsidRPr="0076742D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04D"/>
    <w:rsid w:val="00197F95"/>
    <w:rsid w:val="002F1392"/>
    <w:rsid w:val="003C3112"/>
    <w:rsid w:val="00690B85"/>
    <w:rsid w:val="0076742D"/>
    <w:rsid w:val="007848AD"/>
    <w:rsid w:val="00B42CA0"/>
    <w:rsid w:val="00CD1B9C"/>
    <w:rsid w:val="00D27975"/>
    <w:rsid w:val="00F3538B"/>
    <w:rsid w:val="00FE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FDA5C5"/>
  <w15:chartTrackingRefBased/>
  <w15:docId w15:val="{21500433-FCB3-4648-A24B-3F227FEC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04D"/>
    <w:rPr>
      <w:rFonts w:ascii="Times New Roman" w:eastAsia="Times New Roman" w:hAnsi="Times New Roman" w:cs="Times New Roman"/>
      <w:sz w:val="20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E3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3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304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304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30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304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304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lang w:val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304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304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3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3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30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30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304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30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30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30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30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30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FE3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304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FE3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304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s-ES"/>
    </w:rPr>
  </w:style>
  <w:style w:type="character" w:customStyle="1" w:styleId="CitaCar">
    <w:name w:val="Cita Car"/>
    <w:basedOn w:val="Fuentedeprrafopredeter"/>
    <w:link w:val="Cita"/>
    <w:uiPriority w:val="29"/>
    <w:rsid w:val="00FE30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304D"/>
    <w:pPr>
      <w:ind w:left="720"/>
      <w:contextualSpacing/>
    </w:pPr>
    <w:rPr>
      <w:rFonts w:asciiTheme="minorHAnsi" w:eastAsiaTheme="minorHAnsi" w:hAnsiTheme="minorHAnsi" w:cstheme="minorBidi"/>
      <w:lang w:val="es-ES"/>
    </w:rPr>
  </w:style>
  <w:style w:type="character" w:styleId="nfasisintenso">
    <w:name w:val="Intense Emphasis"/>
    <w:basedOn w:val="Fuentedeprrafopredeter"/>
    <w:uiPriority w:val="21"/>
    <w:qFormat/>
    <w:rsid w:val="00FE304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3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304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304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E304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FE304D"/>
  </w:style>
  <w:style w:type="character" w:styleId="Fuerte">
    <w:name w:val="Strong"/>
    <w:basedOn w:val="Fuentedeprrafopredeter"/>
    <w:uiPriority w:val="22"/>
    <w:qFormat/>
    <w:rsid w:val="00FE304D"/>
    <w:rPr>
      <w:b/>
      <w:bCs/>
    </w:rPr>
  </w:style>
  <w:style w:type="character" w:styleId="Nmerodelnea">
    <w:name w:val="line number"/>
    <w:basedOn w:val="Fuentedeprrafopredeter"/>
    <w:uiPriority w:val="99"/>
    <w:semiHidden/>
    <w:unhideWhenUsed/>
    <w:rsid w:val="002F1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602</Characters>
  <Application>Microsoft Office Word</Application>
  <DocSecurity>0</DocSecurity>
  <Lines>13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pedrero salcedo</dc:creator>
  <cp:keywords/>
  <dc:description/>
  <cp:lastModifiedBy>francisco pedrero salcedo</cp:lastModifiedBy>
  <cp:revision>2</cp:revision>
  <dcterms:created xsi:type="dcterms:W3CDTF">2026-06-03T02:17:00Z</dcterms:created>
  <dcterms:modified xsi:type="dcterms:W3CDTF">2026-06-03T02:17:00Z</dcterms:modified>
</cp:coreProperties>
</file>