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0F934" w14:textId="77777777" w:rsidR="00251EBB" w:rsidRDefault="00251EBB" w:rsidP="00251EBB">
      <w:pPr>
        <w:pStyle w:val="Supplementarysubtitle"/>
        <w:jc w:val="center"/>
        <w:rPr>
          <w:sz w:val="36"/>
          <w:szCs w:val="44"/>
        </w:rPr>
      </w:pPr>
      <w:r>
        <w:rPr>
          <w:rFonts w:hint="eastAsia"/>
          <w:sz w:val="36"/>
          <w:szCs w:val="44"/>
        </w:rPr>
        <w:t>Supplementary Information</w:t>
      </w:r>
    </w:p>
    <w:p w14:paraId="412540D8" w14:textId="77777777" w:rsidR="00251EBB" w:rsidRDefault="00251EBB" w:rsidP="00251EBB">
      <w:pPr>
        <w:pStyle w:val="Supplementarysubtitle"/>
        <w:jc w:val="center"/>
      </w:pPr>
      <w:r>
        <w:t>Computational spatiality: virtual production, generative media and the politics of screen space</w:t>
      </w:r>
    </w:p>
    <w:p w14:paraId="4D35692C" w14:textId="77777777" w:rsidR="00251EBB" w:rsidRDefault="00251EBB" w:rsidP="00251EBB">
      <w:pPr>
        <w:pStyle w:val="Supplementarynote"/>
      </w:pPr>
      <w:r>
        <w:rPr>
          <w:b/>
        </w:rPr>
        <w:t>Supplementary Table S1. Evidence matrix for the conceptual synthesis</w:t>
      </w:r>
    </w:p>
    <w:p w14:paraId="15109A7F" w14:textId="77777777" w:rsidR="00251EBB" w:rsidRDefault="00251EBB" w:rsidP="00251EBB">
      <w:pPr>
        <w:pStyle w:val="Supplementarynote"/>
      </w:pPr>
      <w:r>
        <w:t>This matrix records how each source enters the argument and marks the limit of the claim it can support. The materials do not carry equal evidentiary weight. Theoretical texts establish conceptual relations; peer-reviewed production research documents workflow conditions; corporate and developer materials describe situated systems; regulatory documents identify formal requirements in specific jurisdictions. No numerical aggregation was performed, and technical capacity, practical use and industry prevalence were kept analytically separate.</w:t>
      </w:r>
    </w:p>
    <w:tbl>
      <w:tblPr>
        <w:tblStyle w:val="TableGrid"/>
        <w:tblW w:w="0" w:type="auto"/>
        <w:jc w:val="center"/>
        <w:tblLayout w:type="fixed"/>
        <w:tblLook w:val="04A0" w:firstRow="1" w:lastRow="0" w:firstColumn="1" w:lastColumn="0" w:noHBand="0" w:noVBand="1"/>
      </w:tblPr>
      <w:tblGrid>
        <w:gridCol w:w="1184"/>
        <w:gridCol w:w="1420"/>
        <w:gridCol w:w="1810"/>
        <w:gridCol w:w="2350"/>
        <w:gridCol w:w="2790"/>
        <w:gridCol w:w="3050"/>
        <w:gridCol w:w="2873"/>
      </w:tblGrid>
      <w:tr w:rsidR="00251EBB" w14:paraId="52E462F5" w14:textId="77777777" w:rsidTr="005F2BC9">
        <w:trPr>
          <w:tblHeader/>
          <w:jc w:val="center"/>
        </w:trPr>
        <w:tc>
          <w:tcPr>
            <w:tcW w:w="1184" w:type="dxa"/>
            <w:shd w:val="clear" w:color="auto" w:fill="D9E2F3"/>
            <w:vAlign w:val="center"/>
          </w:tcPr>
          <w:p w14:paraId="3903C7FD" w14:textId="77777777" w:rsidR="00251EBB" w:rsidRDefault="00251EBB" w:rsidP="005F2BC9">
            <w:pPr>
              <w:spacing w:after="0" w:line="240" w:lineRule="auto"/>
              <w:jc w:val="center"/>
            </w:pPr>
            <w:r>
              <w:rPr>
                <w:rFonts w:ascii="Arial" w:eastAsia="Arial" w:hAnsi="Arial"/>
                <w:b/>
                <w:sz w:val="16"/>
              </w:rPr>
              <w:t>No.</w:t>
            </w:r>
          </w:p>
        </w:tc>
        <w:tc>
          <w:tcPr>
            <w:tcW w:w="1420" w:type="dxa"/>
            <w:shd w:val="clear" w:color="auto" w:fill="D9E2F3"/>
            <w:vAlign w:val="center"/>
          </w:tcPr>
          <w:p w14:paraId="611C042F" w14:textId="77777777" w:rsidR="00251EBB" w:rsidRDefault="00251EBB" w:rsidP="005F2BC9">
            <w:pPr>
              <w:spacing w:after="0" w:line="240" w:lineRule="auto"/>
              <w:jc w:val="center"/>
            </w:pPr>
            <w:r>
              <w:rPr>
                <w:rFonts w:ascii="Arial" w:eastAsia="Arial" w:hAnsi="Arial"/>
                <w:b/>
                <w:sz w:val="16"/>
              </w:rPr>
              <w:t>Source</w:t>
            </w:r>
          </w:p>
        </w:tc>
        <w:tc>
          <w:tcPr>
            <w:tcW w:w="1810" w:type="dxa"/>
            <w:shd w:val="clear" w:color="auto" w:fill="D9E2F3"/>
            <w:vAlign w:val="center"/>
          </w:tcPr>
          <w:p w14:paraId="0AD95FA9" w14:textId="77777777" w:rsidR="00251EBB" w:rsidRDefault="00251EBB" w:rsidP="005F2BC9">
            <w:pPr>
              <w:spacing w:after="0" w:line="240" w:lineRule="auto"/>
              <w:jc w:val="center"/>
            </w:pPr>
            <w:r>
              <w:rPr>
                <w:rFonts w:ascii="Arial" w:eastAsia="Arial" w:hAnsi="Arial"/>
                <w:b/>
                <w:sz w:val="16"/>
              </w:rPr>
              <w:t>Source type</w:t>
            </w:r>
          </w:p>
        </w:tc>
        <w:tc>
          <w:tcPr>
            <w:tcW w:w="2350" w:type="dxa"/>
            <w:shd w:val="clear" w:color="auto" w:fill="D9E2F3"/>
            <w:vAlign w:val="center"/>
          </w:tcPr>
          <w:p w14:paraId="50378F0A" w14:textId="77777777" w:rsidR="00251EBB" w:rsidRDefault="00251EBB" w:rsidP="005F2BC9">
            <w:pPr>
              <w:spacing w:after="0" w:line="240" w:lineRule="auto"/>
              <w:jc w:val="center"/>
            </w:pPr>
            <w:r>
              <w:rPr>
                <w:rFonts w:ascii="Arial" w:eastAsia="Arial" w:hAnsi="Arial"/>
                <w:b/>
                <w:sz w:val="16"/>
              </w:rPr>
              <w:t>Object or system</w:t>
            </w:r>
          </w:p>
        </w:tc>
        <w:tc>
          <w:tcPr>
            <w:tcW w:w="2790" w:type="dxa"/>
            <w:shd w:val="clear" w:color="auto" w:fill="D9E2F3"/>
            <w:vAlign w:val="center"/>
          </w:tcPr>
          <w:p w14:paraId="7E7758C2" w14:textId="77777777" w:rsidR="00251EBB" w:rsidRDefault="00251EBB" w:rsidP="005F2BC9">
            <w:pPr>
              <w:spacing w:after="0" w:line="240" w:lineRule="auto"/>
              <w:jc w:val="center"/>
            </w:pPr>
            <w:r>
              <w:rPr>
                <w:rFonts w:ascii="Arial" w:eastAsia="Arial" w:hAnsi="Arial"/>
                <w:b/>
                <w:sz w:val="16"/>
              </w:rPr>
              <w:t>Empirical or analytical basis</w:t>
            </w:r>
          </w:p>
        </w:tc>
        <w:tc>
          <w:tcPr>
            <w:tcW w:w="3050" w:type="dxa"/>
            <w:shd w:val="clear" w:color="auto" w:fill="D9E2F3"/>
            <w:vAlign w:val="center"/>
          </w:tcPr>
          <w:p w14:paraId="4394FA6B" w14:textId="77777777" w:rsidR="00251EBB" w:rsidRDefault="00251EBB" w:rsidP="005F2BC9">
            <w:pPr>
              <w:spacing w:after="0" w:line="240" w:lineRule="auto"/>
              <w:jc w:val="center"/>
            </w:pPr>
            <w:r>
              <w:rPr>
                <w:rFonts w:ascii="Arial" w:eastAsia="Arial" w:hAnsi="Arial"/>
                <w:b/>
                <w:sz w:val="16"/>
              </w:rPr>
              <w:t>Role in the argument / claim supported</w:t>
            </w:r>
          </w:p>
        </w:tc>
        <w:tc>
          <w:tcPr>
            <w:tcW w:w="2873" w:type="dxa"/>
            <w:shd w:val="clear" w:color="auto" w:fill="D9E2F3"/>
            <w:vAlign w:val="center"/>
          </w:tcPr>
          <w:p w14:paraId="4557C319" w14:textId="77777777" w:rsidR="00251EBB" w:rsidRDefault="00251EBB" w:rsidP="005F2BC9">
            <w:pPr>
              <w:spacing w:after="0" w:line="240" w:lineRule="auto"/>
              <w:jc w:val="center"/>
            </w:pPr>
            <w:r>
              <w:rPr>
                <w:rFonts w:ascii="Arial" w:eastAsia="Arial" w:hAnsi="Arial"/>
                <w:b/>
                <w:sz w:val="16"/>
              </w:rPr>
              <w:t>Evidentiary limitation</w:t>
            </w:r>
          </w:p>
        </w:tc>
      </w:tr>
      <w:tr w:rsidR="00251EBB" w14:paraId="3C8125F7" w14:textId="77777777" w:rsidTr="005F2BC9">
        <w:trPr>
          <w:cantSplit/>
          <w:jc w:val="center"/>
        </w:trPr>
        <w:tc>
          <w:tcPr>
            <w:tcW w:w="1184" w:type="dxa"/>
          </w:tcPr>
          <w:p w14:paraId="1EB538C8" w14:textId="77777777" w:rsidR="00251EBB" w:rsidRDefault="00251EBB" w:rsidP="005F2BC9">
            <w:pPr>
              <w:spacing w:after="0" w:line="240" w:lineRule="auto"/>
              <w:jc w:val="center"/>
            </w:pPr>
            <w:r>
              <w:rPr>
                <w:rFonts w:ascii="Arial" w:eastAsia="Arial" w:hAnsi="Arial"/>
                <w:sz w:val="15"/>
              </w:rPr>
              <w:t>1</w:t>
            </w:r>
          </w:p>
        </w:tc>
        <w:tc>
          <w:tcPr>
            <w:tcW w:w="1420" w:type="dxa"/>
          </w:tcPr>
          <w:p w14:paraId="29501A16" w14:textId="77777777" w:rsidR="00251EBB" w:rsidRDefault="00251EBB" w:rsidP="005F2BC9">
            <w:pPr>
              <w:spacing w:after="0" w:line="240" w:lineRule="auto"/>
              <w:jc w:val="left"/>
            </w:pPr>
            <w:r>
              <w:rPr>
                <w:rFonts w:ascii="Arial" w:eastAsia="Arial" w:hAnsi="Arial"/>
                <w:sz w:val="15"/>
              </w:rPr>
              <w:t>Bordwell (1985)</w:t>
            </w:r>
          </w:p>
        </w:tc>
        <w:tc>
          <w:tcPr>
            <w:tcW w:w="1810" w:type="dxa"/>
          </w:tcPr>
          <w:p w14:paraId="01059823" w14:textId="77777777" w:rsidR="00251EBB" w:rsidRDefault="00251EBB" w:rsidP="005F2BC9">
            <w:pPr>
              <w:spacing w:after="0" w:line="240" w:lineRule="auto"/>
              <w:jc w:val="left"/>
            </w:pPr>
            <w:r>
              <w:rPr>
                <w:rFonts w:ascii="Arial" w:eastAsia="Arial" w:hAnsi="Arial"/>
                <w:sz w:val="15"/>
              </w:rPr>
              <w:t>Film theory monograph</w:t>
            </w:r>
          </w:p>
        </w:tc>
        <w:tc>
          <w:tcPr>
            <w:tcW w:w="2350" w:type="dxa"/>
          </w:tcPr>
          <w:p w14:paraId="4EAA1788" w14:textId="77777777" w:rsidR="00251EBB" w:rsidRDefault="00251EBB" w:rsidP="005F2BC9">
            <w:pPr>
              <w:spacing w:after="0" w:line="240" w:lineRule="auto"/>
              <w:jc w:val="left"/>
            </w:pPr>
            <w:r>
              <w:rPr>
                <w:rFonts w:ascii="Arial" w:eastAsia="Arial" w:hAnsi="Arial"/>
                <w:sz w:val="15"/>
              </w:rPr>
              <w:t>Narration and cinematic space</w:t>
            </w:r>
          </w:p>
        </w:tc>
        <w:tc>
          <w:tcPr>
            <w:tcW w:w="2790" w:type="dxa"/>
          </w:tcPr>
          <w:p w14:paraId="6E55ABAC" w14:textId="77777777" w:rsidR="00251EBB" w:rsidRDefault="00251EBB" w:rsidP="005F2BC9">
            <w:pPr>
              <w:spacing w:after="0" w:line="240" w:lineRule="auto"/>
              <w:jc w:val="left"/>
            </w:pPr>
            <w:r>
              <w:rPr>
                <w:rFonts w:ascii="Arial" w:eastAsia="Arial" w:hAnsi="Arial"/>
                <w:sz w:val="15"/>
              </w:rPr>
              <w:t>Conceptual analysis of narration, cueing and spatial construction</w:t>
            </w:r>
          </w:p>
        </w:tc>
        <w:tc>
          <w:tcPr>
            <w:tcW w:w="3050" w:type="dxa"/>
          </w:tcPr>
          <w:p w14:paraId="67A7E709" w14:textId="77777777" w:rsidR="00251EBB" w:rsidRDefault="00251EBB" w:rsidP="005F2BC9">
            <w:pPr>
              <w:spacing w:after="0" w:line="240" w:lineRule="auto"/>
              <w:jc w:val="left"/>
            </w:pPr>
            <w:r>
              <w:rPr>
                <w:rFonts w:ascii="Arial" w:eastAsia="Arial" w:hAnsi="Arial"/>
                <w:sz w:val="15"/>
              </w:rPr>
              <w:t>Frames screen space as an organised result of narration rather than a transparent copy of the world</w:t>
            </w:r>
          </w:p>
        </w:tc>
        <w:tc>
          <w:tcPr>
            <w:tcW w:w="2873" w:type="dxa"/>
          </w:tcPr>
          <w:p w14:paraId="2F57205C" w14:textId="77777777" w:rsidR="00251EBB" w:rsidRDefault="00251EBB" w:rsidP="005F2BC9">
            <w:pPr>
              <w:spacing w:after="0" w:line="240" w:lineRule="auto"/>
              <w:jc w:val="left"/>
            </w:pPr>
            <w:r>
              <w:rPr>
                <w:rFonts w:ascii="Arial" w:eastAsia="Arial" w:hAnsi="Arial"/>
                <w:sz w:val="15"/>
              </w:rPr>
              <w:t>Does not address computational production systems or contemporary workflows</w:t>
            </w:r>
          </w:p>
        </w:tc>
      </w:tr>
      <w:tr w:rsidR="00251EBB" w14:paraId="55845E6D" w14:textId="77777777" w:rsidTr="005F2BC9">
        <w:trPr>
          <w:cantSplit/>
          <w:jc w:val="center"/>
        </w:trPr>
        <w:tc>
          <w:tcPr>
            <w:tcW w:w="1184" w:type="dxa"/>
            <w:shd w:val="clear" w:color="auto" w:fill="F5F7FA"/>
          </w:tcPr>
          <w:p w14:paraId="419A4594" w14:textId="77777777" w:rsidR="00251EBB" w:rsidRDefault="00251EBB" w:rsidP="005F2BC9">
            <w:pPr>
              <w:spacing w:after="0" w:line="240" w:lineRule="auto"/>
              <w:jc w:val="center"/>
            </w:pPr>
            <w:r>
              <w:rPr>
                <w:rFonts w:ascii="Arial" w:eastAsia="Arial" w:hAnsi="Arial"/>
                <w:sz w:val="15"/>
              </w:rPr>
              <w:t>2</w:t>
            </w:r>
          </w:p>
        </w:tc>
        <w:tc>
          <w:tcPr>
            <w:tcW w:w="1420" w:type="dxa"/>
            <w:shd w:val="clear" w:color="auto" w:fill="F5F7FA"/>
          </w:tcPr>
          <w:p w14:paraId="566C183B" w14:textId="77777777" w:rsidR="00251EBB" w:rsidRDefault="00251EBB" w:rsidP="005F2BC9">
            <w:pPr>
              <w:spacing w:after="0" w:line="240" w:lineRule="auto"/>
              <w:jc w:val="left"/>
            </w:pPr>
            <w:r>
              <w:rPr>
                <w:rFonts w:ascii="Arial" w:eastAsia="Arial" w:hAnsi="Arial"/>
                <w:sz w:val="15"/>
              </w:rPr>
              <w:t>Heath (1976)</w:t>
            </w:r>
          </w:p>
        </w:tc>
        <w:tc>
          <w:tcPr>
            <w:tcW w:w="1810" w:type="dxa"/>
            <w:shd w:val="clear" w:color="auto" w:fill="F5F7FA"/>
          </w:tcPr>
          <w:p w14:paraId="0BEA64A1" w14:textId="77777777" w:rsidR="00251EBB" w:rsidRDefault="00251EBB" w:rsidP="005F2BC9">
            <w:pPr>
              <w:spacing w:after="0" w:line="240" w:lineRule="auto"/>
              <w:jc w:val="left"/>
            </w:pPr>
            <w:r>
              <w:rPr>
                <w:rFonts w:ascii="Arial" w:eastAsia="Arial" w:hAnsi="Arial"/>
                <w:sz w:val="15"/>
              </w:rPr>
              <w:t>Film-theory article</w:t>
            </w:r>
          </w:p>
        </w:tc>
        <w:tc>
          <w:tcPr>
            <w:tcW w:w="2350" w:type="dxa"/>
            <w:shd w:val="clear" w:color="auto" w:fill="F5F7FA"/>
          </w:tcPr>
          <w:p w14:paraId="3A233C1F" w14:textId="77777777" w:rsidR="00251EBB" w:rsidRDefault="00251EBB" w:rsidP="005F2BC9">
            <w:pPr>
              <w:spacing w:after="0" w:line="240" w:lineRule="auto"/>
              <w:jc w:val="left"/>
            </w:pPr>
            <w:r>
              <w:rPr>
                <w:rFonts w:ascii="Arial" w:eastAsia="Arial" w:hAnsi="Arial"/>
                <w:sz w:val="15"/>
              </w:rPr>
              <w:t>Narrative space</w:t>
            </w:r>
          </w:p>
        </w:tc>
        <w:tc>
          <w:tcPr>
            <w:tcW w:w="2790" w:type="dxa"/>
            <w:shd w:val="clear" w:color="auto" w:fill="F5F7FA"/>
          </w:tcPr>
          <w:p w14:paraId="74C63D9C" w14:textId="77777777" w:rsidR="00251EBB" w:rsidRDefault="00251EBB" w:rsidP="005F2BC9">
            <w:pPr>
              <w:spacing w:after="0" w:line="240" w:lineRule="auto"/>
              <w:jc w:val="left"/>
            </w:pPr>
            <w:r>
              <w:rPr>
                <w:rFonts w:ascii="Arial" w:eastAsia="Arial" w:hAnsi="Arial"/>
                <w:sz w:val="15"/>
              </w:rPr>
              <w:t>Close theoretical analysis of how discontinuous fragments are organised into intelligible screen space</w:t>
            </w:r>
          </w:p>
        </w:tc>
        <w:tc>
          <w:tcPr>
            <w:tcW w:w="3050" w:type="dxa"/>
            <w:shd w:val="clear" w:color="auto" w:fill="F5F7FA"/>
          </w:tcPr>
          <w:p w14:paraId="74368D65" w14:textId="77777777" w:rsidR="00251EBB" w:rsidRDefault="00251EBB" w:rsidP="005F2BC9">
            <w:pPr>
              <w:spacing w:after="0" w:line="240" w:lineRule="auto"/>
              <w:jc w:val="left"/>
            </w:pPr>
            <w:r>
              <w:rPr>
                <w:rFonts w:ascii="Arial" w:eastAsia="Arial" w:hAnsi="Arial"/>
                <w:sz w:val="15"/>
              </w:rPr>
              <w:t>Supports the claim that spatial coherence is produced through formal and perceptual labour</w:t>
            </w:r>
          </w:p>
        </w:tc>
        <w:tc>
          <w:tcPr>
            <w:tcW w:w="2873" w:type="dxa"/>
            <w:shd w:val="clear" w:color="auto" w:fill="F5F7FA"/>
          </w:tcPr>
          <w:p w14:paraId="6BDB421E" w14:textId="77777777" w:rsidR="00251EBB" w:rsidRDefault="00251EBB" w:rsidP="005F2BC9">
            <w:pPr>
              <w:spacing w:after="0" w:line="240" w:lineRule="auto"/>
              <w:jc w:val="left"/>
            </w:pPr>
            <w:r>
              <w:rPr>
                <w:rFonts w:ascii="Arial" w:eastAsia="Arial" w:hAnsi="Arial"/>
                <w:sz w:val="15"/>
              </w:rPr>
              <w:t>Predates digital and real-time production; offers no evidence about current technologies</w:t>
            </w:r>
          </w:p>
        </w:tc>
      </w:tr>
      <w:tr w:rsidR="00251EBB" w14:paraId="2672FAAD" w14:textId="77777777" w:rsidTr="005F2BC9">
        <w:trPr>
          <w:cantSplit/>
          <w:jc w:val="center"/>
        </w:trPr>
        <w:tc>
          <w:tcPr>
            <w:tcW w:w="1184" w:type="dxa"/>
          </w:tcPr>
          <w:p w14:paraId="52275A3B" w14:textId="77777777" w:rsidR="00251EBB" w:rsidRDefault="00251EBB" w:rsidP="005F2BC9">
            <w:pPr>
              <w:spacing w:after="0" w:line="240" w:lineRule="auto"/>
              <w:jc w:val="center"/>
            </w:pPr>
            <w:r>
              <w:rPr>
                <w:rFonts w:ascii="Arial" w:eastAsia="Arial" w:hAnsi="Arial"/>
                <w:sz w:val="15"/>
              </w:rPr>
              <w:t>3</w:t>
            </w:r>
          </w:p>
        </w:tc>
        <w:tc>
          <w:tcPr>
            <w:tcW w:w="1420" w:type="dxa"/>
          </w:tcPr>
          <w:p w14:paraId="4ABD7315" w14:textId="77777777" w:rsidR="00251EBB" w:rsidRDefault="00251EBB" w:rsidP="005F2BC9">
            <w:pPr>
              <w:spacing w:after="0" w:line="240" w:lineRule="auto"/>
              <w:jc w:val="left"/>
            </w:pPr>
            <w:r>
              <w:rPr>
                <w:rFonts w:ascii="Arial" w:eastAsia="Arial" w:hAnsi="Arial"/>
                <w:sz w:val="15"/>
              </w:rPr>
              <w:t>Lefebvre (1991)</w:t>
            </w:r>
          </w:p>
        </w:tc>
        <w:tc>
          <w:tcPr>
            <w:tcW w:w="1810" w:type="dxa"/>
          </w:tcPr>
          <w:p w14:paraId="60F4CAD0" w14:textId="77777777" w:rsidR="00251EBB" w:rsidRDefault="00251EBB" w:rsidP="005F2BC9">
            <w:pPr>
              <w:spacing w:after="0" w:line="240" w:lineRule="auto"/>
              <w:jc w:val="left"/>
            </w:pPr>
            <w:r>
              <w:rPr>
                <w:rFonts w:ascii="Arial" w:eastAsia="Arial" w:hAnsi="Arial"/>
                <w:sz w:val="15"/>
              </w:rPr>
              <w:t>Social theory monograph</w:t>
            </w:r>
          </w:p>
        </w:tc>
        <w:tc>
          <w:tcPr>
            <w:tcW w:w="2350" w:type="dxa"/>
          </w:tcPr>
          <w:p w14:paraId="2A1573C4" w14:textId="77777777" w:rsidR="00251EBB" w:rsidRDefault="00251EBB" w:rsidP="005F2BC9">
            <w:pPr>
              <w:spacing w:after="0" w:line="240" w:lineRule="auto"/>
              <w:jc w:val="left"/>
            </w:pPr>
            <w:r>
              <w:rPr>
                <w:rFonts w:ascii="Arial" w:eastAsia="Arial" w:hAnsi="Arial"/>
                <w:sz w:val="15"/>
              </w:rPr>
              <w:t>Social production of space</w:t>
            </w:r>
          </w:p>
        </w:tc>
        <w:tc>
          <w:tcPr>
            <w:tcW w:w="2790" w:type="dxa"/>
          </w:tcPr>
          <w:p w14:paraId="1406F6C1" w14:textId="77777777" w:rsidR="00251EBB" w:rsidRDefault="00251EBB" w:rsidP="005F2BC9">
            <w:pPr>
              <w:spacing w:after="0" w:line="240" w:lineRule="auto"/>
              <w:jc w:val="left"/>
            </w:pPr>
            <w:r>
              <w:rPr>
                <w:rFonts w:ascii="Arial" w:eastAsia="Arial" w:hAnsi="Arial"/>
                <w:sz w:val="15"/>
              </w:rPr>
              <w:t>Conceptual and historical account of space as socially produced</w:t>
            </w:r>
          </w:p>
        </w:tc>
        <w:tc>
          <w:tcPr>
            <w:tcW w:w="3050" w:type="dxa"/>
          </w:tcPr>
          <w:p w14:paraId="6A3507B4" w14:textId="77777777" w:rsidR="00251EBB" w:rsidRDefault="00251EBB" w:rsidP="005F2BC9">
            <w:pPr>
              <w:spacing w:after="0" w:line="240" w:lineRule="auto"/>
              <w:jc w:val="left"/>
            </w:pPr>
            <w:r>
              <w:rPr>
                <w:rFonts w:ascii="Arial" w:eastAsia="Arial" w:hAnsi="Arial"/>
                <w:sz w:val="15"/>
              </w:rPr>
              <w:t>Prevents computational space from being treated as a neutral technical layer</w:t>
            </w:r>
          </w:p>
        </w:tc>
        <w:tc>
          <w:tcPr>
            <w:tcW w:w="2873" w:type="dxa"/>
          </w:tcPr>
          <w:p w14:paraId="0F756A12" w14:textId="77777777" w:rsidR="00251EBB" w:rsidRDefault="00251EBB" w:rsidP="005F2BC9">
            <w:pPr>
              <w:spacing w:after="0" w:line="240" w:lineRule="auto"/>
              <w:jc w:val="left"/>
            </w:pPr>
            <w:r>
              <w:rPr>
                <w:rFonts w:ascii="Arial" w:eastAsia="Arial" w:hAnsi="Arial"/>
                <w:sz w:val="15"/>
              </w:rPr>
              <w:t>Provides a general social theory rather than production-specific evidence</w:t>
            </w:r>
          </w:p>
        </w:tc>
      </w:tr>
      <w:tr w:rsidR="00251EBB" w14:paraId="67D75257" w14:textId="77777777" w:rsidTr="005F2BC9">
        <w:trPr>
          <w:cantSplit/>
          <w:jc w:val="center"/>
        </w:trPr>
        <w:tc>
          <w:tcPr>
            <w:tcW w:w="1184" w:type="dxa"/>
            <w:shd w:val="clear" w:color="auto" w:fill="F5F7FA"/>
          </w:tcPr>
          <w:p w14:paraId="240772ED" w14:textId="77777777" w:rsidR="00251EBB" w:rsidRDefault="00251EBB" w:rsidP="005F2BC9">
            <w:pPr>
              <w:spacing w:after="0" w:line="240" w:lineRule="auto"/>
              <w:jc w:val="center"/>
            </w:pPr>
            <w:r>
              <w:rPr>
                <w:rFonts w:ascii="Arial" w:eastAsia="Arial" w:hAnsi="Arial"/>
                <w:sz w:val="15"/>
              </w:rPr>
              <w:t>4</w:t>
            </w:r>
          </w:p>
        </w:tc>
        <w:tc>
          <w:tcPr>
            <w:tcW w:w="1420" w:type="dxa"/>
            <w:shd w:val="clear" w:color="auto" w:fill="F5F7FA"/>
          </w:tcPr>
          <w:p w14:paraId="4CD0AACA" w14:textId="77777777" w:rsidR="00251EBB" w:rsidRDefault="00251EBB" w:rsidP="005F2BC9">
            <w:pPr>
              <w:spacing w:after="0" w:line="240" w:lineRule="auto"/>
              <w:jc w:val="left"/>
            </w:pPr>
            <w:r>
              <w:rPr>
                <w:rFonts w:ascii="Arial" w:eastAsia="Arial" w:hAnsi="Arial"/>
                <w:sz w:val="15"/>
              </w:rPr>
              <w:t>Prince (2012)</w:t>
            </w:r>
          </w:p>
        </w:tc>
        <w:tc>
          <w:tcPr>
            <w:tcW w:w="1810" w:type="dxa"/>
            <w:shd w:val="clear" w:color="auto" w:fill="F5F7FA"/>
          </w:tcPr>
          <w:p w14:paraId="7C34E62A" w14:textId="77777777" w:rsidR="00251EBB" w:rsidRDefault="00251EBB" w:rsidP="005F2BC9">
            <w:pPr>
              <w:spacing w:after="0" w:line="240" w:lineRule="auto"/>
              <w:jc w:val="left"/>
            </w:pPr>
            <w:r>
              <w:rPr>
                <w:rFonts w:ascii="Arial" w:eastAsia="Arial" w:hAnsi="Arial"/>
                <w:sz w:val="15"/>
              </w:rPr>
              <w:t>Film and visual-effects monograph</w:t>
            </w:r>
          </w:p>
        </w:tc>
        <w:tc>
          <w:tcPr>
            <w:tcW w:w="2350" w:type="dxa"/>
            <w:shd w:val="clear" w:color="auto" w:fill="F5F7FA"/>
          </w:tcPr>
          <w:p w14:paraId="146ED0D9" w14:textId="77777777" w:rsidR="00251EBB" w:rsidRDefault="00251EBB" w:rsidP="005F2BC9">
            <w:pPr>
              <w:spacing w:after="0" w:line="240" w:lineRule="auto"/>
              <w:jc w:val="left"/>
            </w:pPr>
            <w:r>
              <w:rPr>
                <w:rFonts w:ascii="Arial" w:eastAsia="Arial" w:hAnsi="Arial"/>
                <w:sz w:val="15"/>
              </w:rPr>
              <w:t>Digital visual effects and realism</w:t>
            </w:r>
          </w:p>
        </w:tc>
        <w:tc>
          <w:tcPr>
            <w:tcW w:w="2790" w:type="dxa"/>
            <w:shd w:val="clear" w:color="auto" w:fill="F5F7FA"/>
          </w:tcPr>
          <w:p w14:paraId="7A4EC469" w14:textId="77777777" w:rsidR="00251EBB" w:rsidRDefault="00251EBB" w:rsidP="005F2BC9">
            <w:pPr>
              <w:spacing w:after="0" w:line="240" w:lineRule="auto"/>
              <w:jc w:val="left"/>
            </w:pPr>
            <w:r>
              <w:rPr>
                <w:rFonts w:ascii="Arial" w:eastAsia="Arial" w:hAnsi="Arial"/>
                <w:sz w:val="15"/>
              </w:rPr>
              <w:t>Historical and critical analysis of digital visual effects in cinema</w:t>
            </w:r>
          </w:p>
        </w:tc>
        <w:tc>
          <w:tcPr>
            <w:tcW w:w="3050" w:type="dxa"/>
            <w:shd w:val="clear" w:color="auto" w:fill="F5F7FA"/>
          </w:tcPr>
          <w:p w14:paraId="3AD1D719" w14:textId="77777777" w:rsidR="00251EBB" w:rsidRDefault="00251EBB" w:rsidP="005F2BC9">
            <w:pPr>
              <w:spacing w:after="0" w:line="240" w:lineRule="auto"/>
              <w:jc w:val="left"/>
            </w:pPr>
            <w:r>
              <w:rPr>
                <w:rFonts w:ascii="Arial" w:eastAsia="Arial" w:hAnsi="Arial"/>
                <w:sz w:val="15"/>
              </w:rPr>
              <w:t>Supports the distinction between digitally constructed images and wider computational organisation of space</w:t>
            </w:r>
          </w:p>
        </w:tc>
        <w:tc>
          <w:tcPr>
            <w:tcW w:w="2873" w:type="dxa"/>
            <w:shd w:val="clear" w:color="auto" w:fill="F5F7FA"/>
          </w:tcPr>
          <w:p w14:paraId="1F35A3BD" w14:textId="77777777" w:rsidR="00251EBB" w:rsidRDefault="00251EBB" w:rsidP="005F2BC9">
            <w:pPr>
              <w:spacing w:after="0" w:line="240" w:lineRule="auto"/>
              <w:jc w:val="left"/>
            </w:pPr>
            <w:r>
              <w:rPr>
                <w:rFonts w:ascii="Arial" w:eastAsia="Arial" w:hAnsi="Arial"/>
                <w:sz w:val="15"/>
              </w:rPr>
              <w:t>Focuses primarily on visual effects and finished images rather than real-time or generative infrastructures</w:t>
            </w:r>
          </w:p>
        </w:tc>
      </w:tr>
      <w:tr w:rsidR="00251EBB" w14:paraId="4B7B9F97" w14:textId="77777777" w:rsidTr="005F2BC9">
        <w:trPr>
          <w:cantSplit/>
          <w:jc w:val="center"/>
        </w:trPr>
        <w:tc>
          <w:tcPr>
            <w:tcW w:w="1184" w:type="dxa"/>
          </w:tcPr>
          <w:p w14:paraId="4A7EB4CA" w14:textId="77777777" w:rsidR="00251EBB" w:rsidRDefault="00251EBB" w:rsidP="005F2BC9">
            <w:pPr>
              <w:spacing w:after="0" w:line="240" w:lineRule="auto"/>
              <w:jc w:val="center"/>
            </w:pPr>
            <w:r>
              <w:rPr>
                <w:rFonts w:ascii="Arial" w:eastAsia="Arial" w:hAnsi="Arial"/>
                <w:sz w:val="15"/>
              </w:rPr>
              <w:t>5</w:t>
            </w:r>
          </w:p>
        </w:tc>
        <w:tc>
          <w:tcPr>
            <w:tcW w:w="1420" w:type="dxa"/>
          </w:tcPr>
          <w:p w14:paraId="79EA7369" w14:textId="77777777" w:rsidR="00251EBB" w:rsidRDefault="00251EBB" w:rsidP="005F2BC9">
            <w:pPr>
              <w:spacing w:after="0" w:line="240" w:lineRule="auto"/>
              <w:jc w:val="left"/>
            </w:pPr>
            <w:r>
              <w:rPr>
                <w:rFonts w:ascii="Arial" w:eastAsia="Arial" w:hAnsi="Arial"/>
                <w:sz w:val="15"/>
              </w:rPr>
              <w:t>Crary (1990)</w:t>
            </w:r>
          </w:p>
        </w:tc>
        <w:tc>
          <w:tcPr>
            <w:tcW w:w="1810" w:type="dxa"/>
          </w:tcPr>
          <w:p w14:paraId="325A6EAB" w14:textId="77777777" w:rsidR="00251EBB" w:rsidRDefault="00251EBB" w:rsidP="005F2BC9">
            <w:pPr>
              <w:spacing w:after="0" w:line="240" w:lineRule="auto"/>
              <w:jc w:val="left"/>
            </w:pPr>
            <w:r>
              <w:rPr>
                <w:rFonts w:ascii="Arial" w:eastAsia="Arial" w:hAnsi="Arial"/>
                <w:sz w:val="15"/>
              </w:rPr>
              <w:t>Historical theory monograph</w:t>
            </w:r>
          </w:p>
        </w:tc>
        <w:tc>
          <w:tcPr>
            <w:tcW w:w="2350" w:type="dxa"/>
          </w:tcPr>
          <w:p w14:paraId="525462C6" w14:textId="77777777" w:rsidR="00251EBB" w:rsidRDefault="00251EBB" w:rsidP="005F2BC9">
            <w:pPr>
              <w:spacing w:after="0" w:line="240" w:lineRule="auto"/>
              <w:jc w:val="left"/>
            </w:pPr>
            <w:r>
              <w:rPr>
                <w:rFonts w:ascii="Arial" w:eastAsia="Arial" w:hAnsi="Arial"/>
                <w:sz w:val="15"/>
              </w:rPr>
              <w:t>Observer, apparatus and visual modernity</w:t>
            </w:r>
          </w:p>
        </w:tc>
        <w:tc>
          <w:tcPr>
            <w:tcW w:w="2790" w:type="dxa"/>
          </w:tcPr>
          <w:p w14:paraId="0A5E18CE" w14:textId="77777777" w:rsidR="00251EBB" w:rsidRDefault="00251EBB" w:rsidP="005F2BC9">
            <w:pPr>
              <w:spacing w:after="0" w:line="240" w:lineRule="auto"/>
              <w:jc w:val="left"/>
            </w:pPr>
            <w:r>
              <w:rPr>
                <w:rFonts w:ascii="Arial" w:eastAsia="Arial" w:hAnsi="Arial"/>
                <w:sz w:val="15"/>
              </w:rPr>
              <w:t>Historical analysis of visual subjects and apparatuses</w:t>
            </w:r>
          </w:p>
        </w:tc>
        <w:tc>
          <w:tcPr>
            <w:tcW w:w="3050" w:type="dxa"/>
          </w:tcPr>
          <w:p w14:paraId="56EA4644" w14:textId="77777777" w:rsidR="00251EBB" w:rsidRDefault="00251EBB" w:rsidP="005F2BC9">
            <w:pPr>
              <w:spacing w:after="0" w:line="240" w:lineRule="auto"/>
              <w:jc w:val="left"/>
            </w:pPr>
            <w:r>
              <w:rPr>
                <w:rFonts w:ascii="Arial" w:eastAsia="Arial" w:hAnsi="Arial"/>
                <w:sz w:val="15"/>
              </w:rPr>
              <w:t>Supports the discussion of spectatorship as shaped by technical and institutional arrangements</w:t>
            </w:r>
          </w:p>
        </w:tc>
        <w:tc>
          <w:tcPr>
            <w:tcW w:w="2873" w:type="dxa"/>
          </w:tcPr>
          <w:p w14:paraId="749677B7" w14:textId="77777777" w:rsidR="00251EBB" w:rsidRDefault="00251EBB" w:rsidP="005F2BC9">
            <w:pPr>
              <w:spacing w:after="0" w:line="240" w:lineRule="auto"/>
              <w:jc w:val="left"/>
            </w:pPr>
            <w:r>
              <w:rPr>
                <w:rFonts w:ascii="Arial" w:eastAsia="Arial" w:hAnsi="Arial"/>
                <w:sz w:val="15"/>
              </w:rPr>
              <w:t>Does not examine contemporary virtual-production or AI systems</w:t>
            </w:r>
          </w:p>
        </w:tc>
      </w:tr>
      <w:tr w:rsidR="00251EBB" w14:paraId="2B49E614" w14:textId="77777777" w:rsidTr="005F2BC9">
        <w:trPr>
          <w:cantSplit/>
          <w:jc w:val="center"/>
        </w:trPr>
        <w:tc>
          <w:tcPr>
            <w:tcW w:w="1184" w:type="dxa"/>
            <w:shd w:val="clear" w:color="auto" w:fill="F5F7FA"/>
          </w:tcPr>
          <w:p w14:paraId="60A64449" w14:textId="77777777" w:rsidR="00251EBB" w:rsidRDefault="00251EBB" w:rsidP="005F2BC9">
            <w:pPr>
              <w:spacing w:after="0" w:line="240" w:lineRule="auto"/>
              <w:jc w:val="center"/>
            </w:pPr>
            <w:r>
              <w:rPr>
                <w:rFonts w:ascii="Arial" w:eastAsia="Arial" w:hAnsi="Arial"/>
                <w:sz w:val="15"/>
              </w:rPr>
              <w:t>6</w:t>
            </w:r>
          </w:p>
        </w:tc>
        <w:tc>
          <w:tcPr>
            <w:tcW w:w="1420" w:type="dxa"/>
            <w:shd w:val="clear" w:color="auto" w:fill="F5F7FA"/>
          </w:tcPr>
          <w:p w14:paraId="65969BF4" w14:textId="77777777" w:rsidR="00251EBB" w:rsidRDefault="00251EBB" w:rsidP="005F2BC9">
            <w:pPr>
              <w:spacing w:after="0" w:line="240" w:lineRule="auto"/>
              <w:jc w:val="left"/>
            </w:pPr>
            <w:r>
              <w:rPr>
                <w:rFonts w:ascii="Arial" w:eastAsia="Arial" w:hAnsi="Arial"/>
                <w:sz w:val="15"/>
              </w:rPr>
              <w:t>Manovich (2001)</w:t>
            </w:r>
          </w:p>
        </w:tc>
        <w:tc>
          <w:tcPr>
            <w:tcW w:w="1810" w:type="dxa"/>
            <w:shd w:val="clear" w:color="auto" w:fill="F5F7FA"/>
          </w:tcPr>
          <w:p w14:paraId="5DE9CE02" w14:textId="77777777" w:rsidR="00251EBB" w:rsidRDefault="00251EBB" w:rsidP="005F2BC9">
            <w:pPr>
              <w:spacing w:after="0" w:line="240" w:lineRule="auto"/>
              <w:jc w:val="left"/>
            </w:pPr>
            <w:r>
              <w:rPr>
                <w:rFonts w:ascii="Arial" w:eastAsia="Arial" w:hAnsi="Arial"/>
                <w:sz w:val="15"/>
              </w:rPr>
              <w:t>New-media theory monograph</w:t>
            </w:r>
          </w:p>
        </w:tc>
        <w:tc>
          <w:tcPr>
            <w:tcW w:w="2350" w:type="dxa"/>
            <w:shd w:val="clear" w:color="auto" w:fill="F5F7FA"/>
          </w:tcPr>
          <w:p w14:paraId="6D9111EB" w14:textId="77777777" w:rsidR="00251EBB" w:rsidRDefault="00251EBB" w:rsidP="005F2BC9">
            <w:pPr>
              <w:spacing w:after="0" w:line="240" w:lineRule="auto"/>
              <w:jc w:val="left"/>
            </w:pPr>
            <w:r>
              <w:rPr>
                <w:rFonts w:ascii="Arial" w:eastAsia="Arial" w:hAnsi="Arial"/>
                <w:sz w:val="15"/>
              </w:rPr>
              <w:t>Programmability, variability and database logic</w:t>
            </w:r>
          </w:p>
        </w:tc>
        <w:tc>
          <w:tcPr>
            <w:tcW w:w="2790" w:type="dxa"/>
            <w:shd w:val="clear" w:color="auto" w:fill="F5F7FA"/>
          </w:tcPr>
          <w:p w14:paraId="7169537D" w14:textId="77777777" w:rsidR="00251EBB" w:rsidRDefault="00251EBB" w:rsidP="005F2BC9">
            <w:pPr>
              <w:spacing w:after="0" w:line="240" w:lineRule="auto"/>
              <w:jc w:val="left"/>
            </w:pPr>
            <w:r>
              <w:rPr>
                <w:rFonts w:ascii="Arial" w:eastAsia="Arial" w:hAnsi="Arial"/>
                <w:sz w:val="15"/>
              </w:rPr>
              <w:t>Conceptual synthesis of new-media properties</w:t>
            </w:r>
          </w:p>
        </w:tc>
        <w:tc>
          <w:tcPr>
            <w:tcW w:w="3050" w:type="dxa"/>
            <w:shd w:val="clear" w:color="auto" w:fill="F5F7FA"/>
          </w:tcPr>
          <w:p w14:paraId="70B4CAA2" w14:textId="77777777" w:rsidR="00251EBB" w:rsidRDefault="00251EBB" w:rsidP="005F2BC9">
            <w:pPr>
              <w:spacing w:after="0" w:line="240" w:lineRule="auto"/>
              <w:jc w:val="left"/>
            </w:pPr>
            <w:r>
              <w:rPr>
                <w:rFonts w:ascii="Arial" w:eastAsia="Arial" w:hAnsi="Arial"/>
                <w:sz w:val="15"/>
              </w:rPr>
              <w:t>Provides vocabulary for parameterisation, variability and the database organisation of spatial assets</w:t>
            </w:r>
          </w:p>
        </w:tc>
        <w:tc>
          <w:tcPr>
            <w:tcW w:w="2873" w:type="dxa"/>
            <w:shd w:val="clear" w:color="auto" w:fill="F5F7FA"/>
          </w:tcPr>
          <w:p w14:paraId="62CE9C2A" w14:textId="77777777" w:rsidR="00251EBB" w:rsidRDefault="00251EBB" w:rsidP="005F2BC9">
            <w:pPr>
              <w:spacing w:after="0" w:line="240" w:lineRule="auto"/>
              <w:jc w:val="left"/>
            </w:pPr>
            <w:r>
              <w:rPr>
                <w:rFonts w:ascii="Arial" w:eastAsia="Arial" w:hAnsi="Arial"/>
                <w:sz w:val="15"/>
              </w:rPr>
              <w:t>Does not by itself establish how these properties operate in specific production settings</w:t>
            </w:r>
          </w:p>
        </w:tc>
      </w:tr>
      <w:tr w:rsidR="00251EBB" w14:paraId="3FC36EA2" w14:textId="77777777" w:rsidTr="005F2BC9">
        <w:trPr>
          <w:cantSplit/>
          <w:jc w:val="center"/>
        </w:trPr>
        <w:tc>
          <w:tcPr>
            <w:tcW w:w="1184" w:type="dxa"/>
          </w:tcPr>
          <w:p w14:paraId="4D0C598B" w14:textId="77777777" w:rsidR="00251EBB" w:rsidRDefault="00251EBB" w:rsidP="005F2BC9">
            <w:pPr>
              <w:spacing w:after="0" w:line="240" w:lineRule="auto"/>
              <w:jc w:val="center"/>
            </w:pPr>
            <w:r>
              <w:rPr>
                <w:rFonts w:ascii="Arial" w:eastAsia="Arial" w:hAnsi="Arial"/>
                <w:sz w:val="15"/>
              </w:rPr>
              <w:t>7</w:t>
            </w:r>
          </w:p>
        </w:tc>
        <w:tc>
          <w:tcPr>
            <w:tcW w:w="1420" w:type="dxa"/>
          </w:tcPr>
          <w:p w14:paraId="6DD3FFE3" w14:textId="77777777" w:rsidR="00251EBB" w:rsidRDefault="00251EBB" w:rsidP="005F2BC9">
            <w:pPr>
              <w:spacing w:after="0" w:line="240" w:lineRule="auto"/>
              <w:jc w:val="left"/>
            </w:pPr>
            <w:r>
              <w:rPr>
                <w:rFonts w:ascii="Arial" w:eastAsia="Arial" w:hAnsi="Arial"/>
                <w:sz w:val="15"/>
              </w:rPr>
              <w:t>Manovich (2013)</w:t>
            </w:r>
          </w:p>
        </w:tc>
        <w:tc>
          <w:tcPr>
            <w:tcW w:w="1810" w:type="dxa"/>
          </w:tcPr>
          <w:p w14:paraId="790C91DC" w14:textId="77777777" w:rsidR="00251EBB" w:rsidRDefault="00251EBB" w:rsidP="005F2BC9">
            <w:pPr>
              <w:spacing w:after="0" w:line="240" w:lineRule="auto"/>
              <w:jc w:val="left"/>
            </w:pPr>
            <w:r>
              <w:rPr>
                <w:rFonts w:ascii="Arial" w:eastAsia="Arial" w:hAnsi="Arial"/>
                <w:sz w:val="15"/>
              </w:rPr>
              <w:t>Software-studies monograph</w:t>
            </w:r>
          </w:p>
        </w:tc>
        <w:tc>
          <w:tcPr>
            <w:tcW w:w="2350" w:type="dxa"/>
          </w:tcPr>
          <w:p w14:paraId="7244A26D" w14:textId="77777777" w:rsidR="00251EBB" w:rsidRDefault="00251EBB" w:rsidP="005F2BC9">
            <w:pPr>
              <w:spacing w:after="0" w:line="240" w:lineRule="auto"/>
              <w:jc w:val="left"/>
            </w:pPr>
            <w:r>
              <w:rPr>
                <w:rFonts w:ascii="Arial" w:eastAsia="Arial" w:hAnsi="Arial"/>
                <w:sz w:val="15"/>
              </w:rPr>
              <w:t>Software as a cultural production environment</w:t>
            </w:r>
          </w:p>
        </w:tc>
        <w:tc>
          <w:tcPr>
            <w:tcW w:w="2790" w:type="dxa"/>
          </w:tcPr>
          <w:p w14:paraId="4E181307" w14:textId="77777777" w:rsidR="00251EBB" w:rsidRDefault="00251EBB" w:rsidP="005F2BC9">
            <w:pPr>
              <w:spacing w:after="0" w:line="240" w:lineRule="auto"/>
              <w:jc w:val="left"/>
            </w:pPr>
            <w:r>
              <w:rPr>
                <w:rFonts w:ascii="Arial" w:eastAsia="Arial" w:hAnsi="Arial"/>
                <w:sz w:val="15"/>
              </w:rPr>
              <w:t>Historical and conceptual analysis of software-based media practice</w:t>
            </w:r>
          </w:p>
        </w:tc>
        <w:tc>
          <w:tcPr>
            <w:tcW w:w="3050" w:type="dxa"/>
          </w:tcPr>
          <w:p w14:paraId="0C9ECEE2" w14:textId="77777777" w:rsidR="00251EBB" w:rsidRDefault="00251EBB" w:rsidP="005F2BC9">
            <w:pPr>
              <w:spacing w:after="0" w:line="240" w:lineRule="auto"/>
              <w:jc w:val="left"/>
            </w:pPr>
            <w:r>
              <w:rPr>
                <w:rFonts w:ascii="Arial" w:eastAsia="Arial" w:hAnsi="Arial"/>
                <w:sz w:val="15"/>
              </w:rPr>
              <w:t>Supports the view that creative decisions are formatted by software operations and interfaces</w:t>
            </w:r>
          </w:p>
        </w:tc>
        <w:tc>
          <w:tcPr>
            <w:tcW w:w="2873" w:type="dxa"/>
          </w:tcPr>
          <w:p w14:paraId="437377B0" w14:textId="77777777" w:rsidR="00251EBB" w:rsidRDefault="00251EBB" w:rsidP="005F2BC9">
            <w:pPr>
              <w:spacing w:after="0" w:line="240" w:lineRule="auto"/>
              <w:jc w:val="left"/>
            </w:pPr>
            <w:r>
              <w:rPr>
                <w:rFonts w:ascii="Arial" w:eastAsia="Arial" w:hAnsi="Arial"/>
                <w:sz w:val="15"/>
              </w:rPr>
              <w:t>Broad theoretical scope; limited direct evidence about virtual-production labour</w:t>
            </w:r>
          </w:p>
        </w:tc>
      </w:tr>
      <w:tr w:rsidR="00251EBB" w14:paraId="56EC8227" w14:textId="77777777" w:rsidTr="005F2BC9">
        <w:trPr>
          <w:cantSplit/>
          <w:jc w:val="center"/>
        </w:trPr>
        <w:tc>
          <w:tcPr>
            <w:tcW w:w="1184" w:type="dxa"/>
            <w:shd w:val="clear" w:color="auto" w:fill="F5F7FA"/>
          </w:tcPr>
          <w:p w14:paraId="47781292" w14:textId="77777777" w:rsidR="00251EBB" w:rsidRDefault="00251EBB" w:rsidP="005F2BC9">
            <w:pPr>
              <w:spacing w:after="0" w:line="240" w:lineRule="auto"/>
              <w:jc w:val="center"/>
            </w:pPr>
            <w:r>
              <w:rPr>
                <w:rFonts w:ascii="Arial" w:eastAsia="Arial" w:hAnsi="Arial"/>
                <w:sz w:val="15"/>
              </w:rPr>
              <w:t>8</w:t>
            </w:r>
          </w:p>
        </w:tc>
        <w:tc>
          <w:tcPr>
            <w:tcW w:w="1420" w:type="dxa"/>
            <w:shd w:val="clear" w:color="auto" w:fill="F5F7FA"/>
          </w:tcPr>
          <w:p w14:paraId="646D3D15" w14:textId="77777777" w:rsidR="00251EBB" w:rsidRDefault="00251EBB" w:rsidP="005F2BC9">
            <w:pPr>
              <w:spacing w:after="0" w:line="240" w:lineRule="auto"/>
              <w:jc w:val="left"/>
            </w:pPr>
            <w:r>
              <w:rPr>
                <w:rFonts w:ascii="Arial" w:eastAsia="Arial" w:hAnsi="Arial"/>
                <w:sz w:val="15"/>
              </w:rPr>
              <w:t>Kitchin and Dodge (2011)</w:t>
            </w:r>
          </w:p>
        </w:tc>
        <w:tc>
          <w:tcPr>
            <w:tcW w:w="1810" w:type="dxa"/>
            <w:shd w:val="clear" w:color="auto" w:fill="F5F7FA"/>
          </w:tcPr>
          <w:p w14:paraId="4DCD4ADC" w14:textId="77777777" w:rsidR="00251EBB" w:rsidRDefault="00251EBB" w:rsidP="005F2BC9">
            <w:pPr>
              <w:spacing w:after="0" w:line="240" w:lineRule="auto"/>
              <w:jc w:val="left"/>
            </w:pPr>
            <w:r>
              <w:rPr>
                <w:rFonts w:ascii="Arial" w:eastAsia="Arial" w:hAnsi="Arial"/>
                <w:sz w:val="15"/>
              </w:rPr>
              <w:t>Software and spatial theory monograph</w:t>
            </w:r>
          </w:p>
        </w:tc>
        <w:tc>
          <w:tcPr>
            <w:tcW w:w="2350" w:type="dxa"/>
            <w:shd w:val="clear" w:color="auto" w:fill="F5F7FA"/>
          </w:tcPr>
          <w:p w14:paraId="57BDB9E7" w14:textId="77777777" w:rsidR="00251EBB" w:rsidRDefault="00251EBB" w:rsidP="005F2BC9">
            <w:pPr>
              <w:spacing w:after="0" w:line="240" w:lineRule="auto"/>
              <w:jc w:val="left"/>
            </w:pPr>
            <w:r>
              <w:rPr>
                <w:rFonts w:ascii="Arial" w:eastAsia="Arial" w:hAnsi="Arial"/>
                <w:sz w:val="15"/>
              </w:rPr>
              <w:t>Code/space</w:t>
            </w:r>
          </w:p>
        </w:tc>
        <w:tc>
          <w:tcPr>
            <w:tcW w:w="2790" w:type="dxa"/>
            <w:shd w:val="clear" w:color="auto" w:fill="F5F7FA"/>
          </w:tcPr>
          <w:p w14:paraId="2491C6E9" w14:textId="77777777" w:rsidR="00251EBB" w:rsidRDefault="00251EBB" w:rsidP="005F2BC9">
            <w:pPr>
              <w:spacing w:after="0" w:line="240" w:lineRule="auto"/>
              <w:jc w:val="left"/>
            </w:pPr>
            <w:r>
              <w:rPr>
                <w:rFonts w:ascii="Arial" w:eastAsia="Arial" w:hAnsi="Arial"/>
                <w:sz w:val="15"/>
              </w:rPr>
              <w:t>Conceptual and empirical discussion of spaces whose functioning depends on code</w:t>
            </w:r>
          </w:p>
        </w:tc>
        <w:tc>
          <w:tcPr>
            <w:tcW w:w="3050" w:type="dxa"/>
            <w:shd w:val="clear" w:color="auto" w:fill="F5F7FA"/>
          </w:tcPr>
          <w:p w14:paraId="07889304" w14:textId="77777777" w:rsidR="00251EBB" w:rsidRDefault="00251EBB" w:rsidP="005F2BC9">
            <w:pPr>
              <w:spacing w:after="0" w:line="240" w:lineRule="auto"/>
              <w:jc w:val="left"/>
            </w:pPr>
            <w:r>
              <w:rPr>
                <w:rFonts w:ascii="Arial" w:eastAsia="Arial" w:hAnsi="Arial"/>
                <w:sz w:val="15"/>
              </w:rPr>
              <w:t>Supports the argument that code can become constitutive of spatial operation rather than an optional layer</w:t>
            </w:r>
          </w:p>
        </w:tc>
        <w:tc>
          <w:tcPr>
            <w:tcW w:w="2873" w:type="dxa"/>
            <w:shd w:val="clear" w:color="auto" w:fill="F5F7FA"/>
          </w:tcPr>
          <w:p w14:paraId="1D7CC70A" w14:textId="77777777" w:rsidR="00251EBB" w:rsidRDefault="00251EBB" w:rsidP="005F2BC9">
            <w:pPr>
              <w:spacing w:after="0" w:line="240" w:lineRule="auto"/>
              <w:jc w:val="left"/>
            </w:pPr>
            <w:r>
              <w:rPr>
                <w:rFonts w:ascii="Arial" w:eastAsia="Arial" w:hAnsi="Arial"/>
                <w:sz w:val="15"/>
              </w:rPr>
              <w:t>Concerned mainly with everyday and infrastructural spaces, not screen-production environments</w:t>
            </w:r>
          </w:p>
        </w:tc>
      </w:tr>
      <w:tr w:rsidR="00251EBB" w14:paraId="02822D1F" w14:textId="77777777" w:rsidTr="005F2BC9">
        <w:trPr>
          <w:cantSplit/>
          <w:jc w:val="center"/>
        </w:trPr>
        <w:tc>
          <w:tcPr>
            <w:tcW w:w="1184" w:type="dxa"/>
          </w:tcPr>
          <w:p w14:paraId="4A4A02DC" w14:textId="77777777" w:rsidR="00251EBB" w:rsidRDefault="00251EBB" w:rsidP="005F2BC9">
            <w:pPr>
              <w:spacing w:after="0" w:line="240" w:lineRule="auto"/>
              <w:jc w:val="center"/>
            </w:pPr>
            <w:r>
              <w:rPr>
                <w:rFonts w:ascii="Arial" w:eastAsia="Arial" w:hAnsi="Arial"/>
                <w:sz w:val="15"/>
              </w:rPr>
              <w:t>9</w:t>
            </w:r>
          </w:p>
        </w:tc>
        <w:tc>
          <w:tcPr>
            <w:tcW w:w="1420" w:type="dxa"/>
          </w:tcPr>
          <w:p w14:paraId="145C92F5" w14:textId="77777777" w:rsidR="00251EBB" w:rsidRDefault="00251EBB" w:rsidP="005F2BC9">
            <w:pPr>
              <w:spacing w:after="0" w:line="240" w:lineRule="auto"/>
              <w:jc w:val="left"/>
            </w:pPr>
            <w:r>
              <w:rPr>
                <w:rFonts w:ascii="Arial" w:eastAsia="Arial" w:hAnsi="Arial"/>
                <w:sz w:val="15"/>
              </w:rPr>
              <w:t>Galloway (2012)</w:t>
            </w:r>
          </w:p>
        </w:tc>
        <w:tc>
          <w:tcPr>
            <w:tcW w:w="1810" w:type="dxa"/>
          </w:tcPr>
          <w:p w14:paraId="3E7E7D19" w14:textId="77777777" w:rsidR="00251EBB" w:rsidRDefault="00251EBB" w:rsidP="005F2BC9">
            <w:pPr>
              <w:spacing w:after="0" w:line="240" w:lineRule="auto"/>
              <w:jc w:val="left"/>
            </w:pPr>
            <w:r>
              <w:rPr>
                <w:rFonts w:ascii="Arial" w:eastAsia="Arial" w:hAnsi="Arial"/>
                <w:sz w:val="15"/>
              </w:rPr>
              <w:t>Interface theory monograph</w:t>
            </w:r>
          </w:p>
        </w:tc>
        <w:tc>
          <w:tcPr>
            <w:tcW w:w="2350" w:type="dxa"/>
          </w:tcPr>
          <w:p w14:paraId="1591F57C" w14:textId="77777777" w:rsidR="00251EBB" w:rsidRDefault="00251EBB" w:rsidP="005F2BC9">
            <w:pPr>
              <w:spacing w:after="0" w:line="240" w:lineRule="auto"/>
              <w:jc w:val="left"/>
            </w:pPr>
            <w:r>
              <w:rPr>
                <w:rFonts w:ascii="Arial" w:eastAsia="Arial" w:hAnsi="Arial"/>
                <w:sz w:val="15"/>
              </w:rPr>
              <w:t>Interface and mediation</w:t>
            </w:r>
          </w:p>
        </w:tc>
        <w:tc>
          <w:tcPr>
            <w:tcW w:w="2790" w:type="dxa"/>
          </w:tcPr>
          <w:p w14:paraId="1B8361E0" w14:textId="77777777" w:rsidR="00251EBB" w:rsidRDefault="00251EBB" w:rsidP="005F2BC9">
            <w:pPr>
              <w:spacing w:after="0" w:line="240" w:lineRule="auto"/>
              <w:jc w:val="left"/>
            </w:pPr>
            <w:r>
              <w:rPr>
                <w:rFonts w:ascii="Arial" w:eastAsia="Arial" w:hAnsi="Arial"/>
                <w:sz w:val="15"/>
              </w:rPr>
              <w:t>Critical analysis of interfaces as mediated relations</w:t>
            </w:r>
          </w:p>
        </w:tc>
        <w:tc>
          <w:tcPr>
            <w:tcW w:w="3050" w:type="dxa"/>
          </w:tcPr>
          <w:p w14:paraId="1A4EA153" w14:textId="77777777" w:rsidR="00251EBB" w:rsidRDefault="00251EBB" w:rsidP="005F2BC9">
            <w:pPr>
              <w:spacing w:after="0" w:line="240" w:lineRule="auto"/>
              <w:jc w:val="left"/>
            </w:pPr>
            <w:r>
              <w:rPr>
                <w:rFonts w:ascii="Arial" w:eastAsia="Arial" w:hAnsi="Arial"/>
                <w:sz w:val="15"/>
              </w:rPr>
              <w:t>Supports the claim that interfaces make some spatial operations available while hiding others</w:t>
            </w:r>
          </w:p>
        </w:tc>
        <w:tc>
          <w:tcPr>
            <w:tcW w:w="2873" w:type="dxa"/>
          </w:tcPr>
          <w:p w14:paraId="558FA38D" w14:textId="77777777" w:rsidR="00251EBB" w:rsidRDefault="00251EBB" w:rsidP="005F2BC9">
            <w:pPr>
              <w:spacing w:after="0" w:line="240" w:lineRule="auto"/>
              <w:jc w:val="left"/>
            </w:pPr>
            <w:r>
              <w:rPr>
                <w:rFonts w:ascii="Arial" w:eastAsia="Arial" w:hAnsi="Arial"/>
                <w:sz w:val="15"/>
              </w:rPr>
              <w:t>Theoretical account; does not document a particular production system</w:t>
            </w:r>
          </w:p>
        </w:tc>
      </w:tr>
      <w:tr w:rsidR="00251EBB" w14:paraId="3E6E7DD9" w14:textId="77777777" w:rsidTr="005F2BC9">
        <w:trPr>
          <w:cantSplit/>
          <w:jc w:val="center"/>
        </w:trPr>
        <w:tc>
          <w:tcPr>
            <w:tcW w:w="1184" w:type="dxa"/>
            <w:shd w:val="clear" w:color="auto" w:fill="F5F7FA"/>
          </w:tcPr>
          <w:p w14:paraId="5709AA05" w14:textId="77777777" w:rsidR="00251EBB" w:rsidRDefault="00251EBB" w:rsidP="005F2BC9">
            <w:pPr>
              <w:spacing w:after="0" w:line="240" w:lineRule="auto"/>
              <w:jc w:val="center"/>
            </w:pPr>
            <w:r>
              <w:rPr>
                <w:rFonts w:ascii="Arial" w:eastAsia="Arial" w:hAnsi="Arial"/>
                <w:sz w:val="15"/>
              </w:rPr>
              <w:t>10</w:t>
            </w:r>
          </w:p>
        </w:tc>
        <w:tc>
          <w:tcPr>
            <w:tcW w:w="1420" w:type="dxa"/>
            <w:shd w:val="clear" w:color="auto" w:fill="F5F7FA"/>
          </w:tcPr>
          <w:p w14:paraId="28CC5EA8" w14:textId="77777777" w:rsidR="00251EBB" w:rsidRDefault="00251EBB" w:rsidP="005F2BC9">
            <w:pPr>
              <w:spacing w:after="0" w:line="240" w:lineRule="auto"/>
              <w:jc w:val="left"/>
            </w:pPr>
            <w:r>
              <w:rPr>
                <w:rFonts w:ascii="Arial" w:eastAsia="Arial" w:hAnsi="Arial"/>
                <w:sz w:val="15"/>
              </w:rPr>
              <w:t>Parikka (2023)</w:t>
            </w:r>
          </w:p>
        </w:tc>
        <w:tc>
          <w:tcPr>
            <w:tcW w:w="1810" w:type="dxa"/>
            <w:shd w:val="clear" w:color="auto" w:fill="F5F7FA"/>
          </w:tcPr>
          <w:p w14:paraId="43581F88" w14:textId="77777777" w:rsidR="00251EBB" w:rsidRDefault="00251EBB" w:rsidP="005F2BC9">
            <w:pPr>
              <w:spacing w:after="0" w:line="240" w:lineRule="auto"/>
              <w:jc w:val="left"/>
            </w:pPr>
            <w:r>
              <w:rPr>
                <w:rFonts w:ascii="Arial" w:eastAsia="Arial" w:hAnsi="Arial"/>
                <w:sz w:val="15"/>
              </w:rPr>
              <w:t>Media-theory monograph</w:t>
            </w:r>
          </w:p>
        </w:tc>
        <w:tc>
          <w:tcPr>
            <w:tcW w:w="2350" w:type="dxa"/>
            <w:shd w:val="clear" w:color="auto" w:fill="F5F7FA"/>
          </w:tcPr>
          <w:p w14:paraId="26BE8FB5" w14:textId="77777777" w:rsidR="00251EBB" w:rsidRDefault="00251EBB" w:rsidP="005F2BC9">
            <w:pPr>
              <w:spacing w:after="0" w:line="240" w:lineRule="auto"/>
              <w:jc w:val="left"/>
            </w:pPr>
            <w:r>
              <w:rPr>
                <w:rFonts w:ascii="Arial" w:eastAsia="Arial" w:hAnsi="Arial"/>
                <w:sz w:val="15"/>
              </w:rPr>
              <w:t>Operational and invisual images</w:t>
            </w:r>
          </w:p>
        </w:tc>
        <w:tc>
          <w:tcPr>
            <w:tcW w:w="2790" w:type="dxa"/>
            <w:shd w:val="clear" w:color="auto" w:fill="F5F7FA"/>
          </w:tcPr>
          <w:p w14:paraId="779BCA6C" w14:textId="77777777" w:rsidR="00251EBB" w:rsidRDefault="00251EBB" w:rsidP="005F2BC9">
            <w:pPr>
              <w:spacing w:after="0" w:line="240" w:lineRule="auto"/>
              <w:jc w:val="left"/>
            </w:pPr>
            <w:r>
              <w:rPr>
                <w:rFonts w:ascii="Arial" w:eastAsia="Arial" w:hAnsi="Arial"/>
                <w:sz w:val="15"/>
              </w:rPr>
              <w:t>Conceptual analysis of images and operations that act inside technical systems</w:t>
            </w:r>
          </w:p>
        </w:tc>
        <w:tc>
          <w:tcPr>
            <w:tcW w:w="3050" w:type="dxa"/>
            <w:shd w:val="clear" w:color="auto" w:fill="F5F7FA"/>
          </w:tcPr>
          <w:p w14:paraId="2EB18FDD" w14:textId="77777777" w:rsidR="00251EBB" w:rsidRDefault="00251EBB" w:rsidP="005F2BC9">
            <w:pPr>
              <w:spacing w:after="0" w:line="240" w:lineRule="auto"/>
              <w:jc w:val="left"/>
            </w:pPr>
            <w:r>
              <w:rPr>
                <w:rFonts w:ascii="Arial" w:eastAsia="Arial" w:hAnsi="Arial"/>
                <w:sz w:val="15"/>
              </w:rPr>
              <w:t>Supports attention to hidden operations, model opacity and non-spectatorial image functions</w:t>
            </w:r>
          </w:p>
        </w:tc>
        <w:tc>
          <w:tcPr>
            <w:tcW w:w="2873" w:type="dxa"/>
            <w:shd w:val="clear" w:color="auto" w:fill="F5F7FA"/>
          </w:tcPr>
          <w:p w14:paraId="6CE8EA39" w14:textId="77777777" w:rsidR="00251EBB" w:rsidRDefault="00251EBB" w:rsidP="005F2BC9">
            <w:pPr>
              <w:spacing w:after="0" w:line="240" w:lineRule="auto"/>
              <w:jc w:val="left"/>
            </w:pPr>
            <w:r>
              <w:rPr>
                <w:rFonts w:ascii="Arial" w:eastAsia="Arial" w:hAnsi="Arial"/>
                <w:sz w:val="15"/>
              </w:rPr>
              <w:t>Does not offer production-level evidence for the selected cases</w:t>
            </w:r>
          </w:p>
        </w:tc>
      </w:tr>
      <w:tr w:rsidR="00251EBB" w14:paraId="21ABA730" w14:textId="77777777" w:rsidTr="005F2BC9">
        <w:trPr>
          <w:cantSplit/>
          <w:jc w:val="center"/>
        </w:trPr>
        <w:tc>
          <w:tcPr>
            <w:tcW w:w="1184" w:type="dxa"/>
          </w:tcPr>
          <w:p w14:paraId="2FDED276" w14:textId="77777777" w:rsidR="00251EBB" w:rsidRDefault="00251EBB" w:rsidP="005F2BC9">
            <w:pPr>
              <w:spacing w:after="0" w:line="240" w:lineRule="auto"/>
              <w:jc w:val="center"/>
            </w:pPr>
            <w:r>
              <w:rPr>
                <w:rFonts w:ascii="Arial" w:eastAsia="Arial" w:hAnsi="Arial"/>
                <w:sz w:val="15"/>
              </w:rPr>
              <w:t>11</w:t>
            </w:r>
          </w:p>
        </w:tc>
        <w:tc>
          <w:tcPr>
            <w:tcW w:w="1420" w:type="dxa"/>
          </w:tcPr>
          <w:p w14:paraId="123CD089" w14:textId="77777777" w:rsidR="00251EBB" w:rsidRDefault="00251EBB" w:rsidP="005F2BC9">
            <w:pPr>
              <w:spacing w:after="0" w:line="240" w:lineRule="auto"/>
              <w:jc w:val="left"/>
            </w:pPr>
            <w:r>
              <w:rPr>
                <w:rFonts w:ascii="Arial" w:eastAsia="Arial" w:hAnsi="Arial"/>
                <w:sz w:val="15"/>
              </w:rPr>
              <w:t>MacKenzie and Munster (2019)</w:t>
            </w:r>
          </w:p>
        </w:tc>
        <w:tc>
          <w:tcPr>
            <w:tcW w:w="1810" w:type="dxa"/>
          </w:tcPr>
          <w:p w14:paraId="4218DF2D" w14:textId="77777777" w:rsidR="00251EBB" w:rsidRDefault="00251EBB" w:rsidP="005F2BC9">
            <w:pPr>
              <w:spacing w:after="0" w:line="240" w:lineRule="auto"/>
              <w:jc w:val="left"/>
            </w:pPr>
            <w:r>
              <w:rPr>
                <w:rFonts w:ascii="Arial" w:eastAsia="Arial" w:hAnsi="Arial"/>
                <w:sz w:val="15"/>
              </w:rPr>
              <w:t>Peer-reviewed theory article</w:t>
            </w:r>
          </w:p>
        </w:tc>
        <w:tc>
          <w:tcPr>
            <w:tcW w:w="2350" w:type="dxa"/>
          </w:tcPr>
          <w:p w14:paraId="4F369F28" w14:textId="77777777" w:rsidR="00251EBB" w:rsidRDefault="00251EBB" w:rsidP="005F2BC9">
            <w:pPr>
              <w:spacing w:after="0" w:line="240" w:lineRule="auto"/>
              <w:jc w:val="left"/>
            </w:pPr>
            <w:r>
              <w:rPr>
                <w:rFonts w:ascii="Arial" w:eastAsia="Arial" w:hAnsi="Arial"/>
                <w:sz w:val="15"/>
              </w:rPr>
              <w:t>Platform seeing and image ensembles</w:t>
            </w:r>
          </w:p>
        </w:tc>
        <w:tc>
          <w:tcPr>
            <w:tcW w:w="2790" w:type="dxa"/>
          </w:tcPr>
          <w:p w14:paraId="7D84AB40" w14:textId="77777777" w:rsidR="00251EBB" w:rsidRDefault="00251EBB" w:rsidP="005F2BC9">
            <w:pPr>
              <w:spacing w:after="0" w:line="240" w:lineRule="auto"/>
              <w:jc w:val="left"/>
            </w:pPr>
            <w:r>
              <w:rPr>
                <w:rFonts w:ascii="Arial" w:eastAsia="Arial" w:hAnsi="Arial"/>
                <w:sz w:val="15"/>
              </w:rPr>
              <w:t>Critical conceptual analysis of computational image ensembles</w:t>
            </w:r>
          </w:p>
        </w:tc>
        <w:tc>
          <w:tcPr>
            <w:tcW w:w="3050" w:type="dxa"/>
          </w:tcPr>
          <w:p w14:paraId="65AAC1C4" w14:textId="77777777" w:rsidR="00251EBB" w:rsidRDefault="00251EBB" w:rsidP="005F2BC9">
            <w:pPr>
              <w:spacing w:after="0" w:line="240" w:lineRule="auto"/>
              <w:jc w:val="left"/>
            </w:pPr>
            <w:r>
              <w:rPr>
                <w:rFonts w:ascii="Arial" w:eastAsia="Arial" w:hAnsi="Arial"/>
                <w:sz w:val="15"/>
              </w:rPr>
              <w:t>Supports the argument that generated spatial appearance draws on large formatted image distributions</w:t>
            </w:r>
          </w:p>
        </w:tc>
        <w:tc>
          <w:tcPr>
            <w:tcW w:w="2873" w:type="dxa"/>
          </w:tcPr>
          <w:p w14:paraId="62D85E6F" w14:textId="77777777" w:rsidR="00251EBB" w:rsidRDefault="00251EBB" w:rsidP="005F2BC9">
            <w:pPr>
              <w:spacing w:after="0" w:line="240" w:lineRule="auto"/>
              <w:jc w:val="left"/>
            </w:pPr>
            <w:r>
              <w:rPr>
                <w:rFonts w:ascii="Arial" w:eastAsia="Arial" w:hAnsi="Arial"/>
                <w:sz w:val="15"/>
              </w:rPr>
              <w:t>Does not test individual video-generation systems or spatial continuity</w:t>
            </w:r>
          </w:p>
        </w:tc>
      </w:tr>
      <w:tr w:rsidR="00251EBB" w14:paraId="42B9554B" w14:textId="77777777" w:rsidTr="005F2BC9">
        <w:trPr>
          <w:cantSplit/>
          <w:jc w:val="center"/>
        </w:trPr>
        <w:tc>
          <w:tcPr>
            <w:tcW w:w="1184" w:type="dxa"/>
            <w:shd w:val="clear" w:color="auto" w:fill="F5F7FA"/>
          </w:tcPr>
          <w:p w14:paraId="51398E44" w14:textId="77777777" w:rsidR="00251EBB" w:rsidRDefault="00251EBB" w:rsidP="005F2BC9">
            <w:pPr>
              <w:spacing w:after="0" w:line="240" w:lineRule="auto"/>
              <w:jc w:val="center"/>
            </w:pPr>
            <w:r>
              <w:rPr>
                <w:rFonts w:ascii="Arial" w:eastAsia="Arial" w:hAnsi="Arial"/>
                <w:sz w:val="15"/>
              </w:rPr>
              <w:t>12</w:t>
            </w:r>
          </w:p>
        </w:tc>
        <w:tc>
          <w:tcPr>
            <w:tcW w:w="1420" w:type="dxa"/>
            <w:shd w:val="clear" w:color="auto" w:fill="F5F7FA"/>
          </w:tcPr>
          <w:p w14:paraId="28139887" w14:textId="77777777" w:rsidR="00251EBB" w:rsidRDefault="00251EBB" w:rsidP="005F2BC9">
            <w:pPr>
              <w:spacing w:after="0" w:line="240" w:lineRule="auto"/>
              <w:jc w:val="left"/>
            </w:pPr>
            <w:r>
              <w:rPr>
                <w:rFonts w:ascii="Arial" w:eastAsia="Arial" w:hAnsi="Arial"/>
                <w:sz w:val="15"/>
              </w:rPr>
              <w:t>Crawford and Paglen (2019)</w:t>
            </w:r>
          </w:p>
        </w:tc>
        <w:tc>
          <w:tcPr>
            <w:tcW w:w="1810" w:type="dxa"/>
            <w:shd w:val="clear" w:color="auto" w:fill="F5F7FA"/>
          </w:tcPr>
          <w:p w14:paraId="12CF3402" w14:textId="77777777" w:rsidR="00251EBB" w:rsidRDefault="00251EBB" w:rsidP="005F2BC9">
            <w:pPr>
              <w:spacing w:after="0" w:line="240" w:lineRule="auto"/>
              <w:jc w:val="left"/>
            </w:pPr>
            <w:r>
              <w:rPr>
                <w:rFonts w:ascii="Arial" w:eastAsia="Arial" w:hAnsi="Arial"/>
                <w:sz w:val="15"/>
              </w:rPr>
              <w:t>Critical dataset study</w:t>
            </w:r>
          </w:p>
        </w:tc>
        <w:tc>
          <w:tcPr>
            <w:tcW w:w="2350" w:type="dxa"/>
            <w:shd w:val="clear" w:color="auto" w:fill="F5F7FA"/>
          </w:tcPr>
          <w:p w14:paraId="320AF6B6" w14:textId="77777777" w:rsidR="00251EBB" w:rsidRDefault="00251EBB" w:rsidP="005F2BC9">
            <w:pPr>
              <w:spacing w:after="0" w:line="240" w:lineRule="auto"/>
              <w:jc w:val="left"/>
            </w:pPr>
            <w:r>
              <w:rPr>
                <w:rFonts w:ascii="Arial" w:eastAsia="Arial" w:hAnsi="Arial"/>
                <w:sz w:val="15"/>
              </w:rPr>
              <w:t>Training sets and classification</w:t>
            </w:r>
          </w:p>
        </w:tc>
        <w:tc>
          <w:tcPr>
            <w:tcW w:w="2790" w:type="dxa"/>
            <w:shd w:val="clear" w:color="auto" w:fill="F5F7FA"/>
          </w:tcPr>
          <w:p w14:paraId="69A7709E" w14:textId="77777777" w:rsidR="00251EBB" w:rsidRDefault="00251EBB" w:rsidP="005F2BC9">
            <w:pPr>
              <w:spacing w:after="0" w:line="240" w:lineRule="auto"/>
              <w:jc w:val="left"/>
            </w:pPr>
            <w:r>
              <w:rPr>
                <w:rFonts w:ascii="Arial" w:eastAsia="Arial" w:hAnsi="Arial"/>
                <w:sz w:val="15"/>
              </w:rPr>
              <w:t>Investigative analysis of image datasets and their classificatory politics</w:t>
            </w:r>
          </w:p>
        </w:tc>
        <w:tc>
          <w:tcPr>
            <w:tcW w:w="3050" w:type="dxa"/>
            <w:shd w:val="clear" w:color="auto" w:fill="F5F7FA"/>
          </w:tcPr>
          <w:p w14:paraId="579848B2" w14:textId="77777777" w:rsidR="00251EBB" w:rsidRDefault="00251EBB" w:rsidP="005F2BC9">
            <w:pPr>
              <w:spacing w:after="0" w:line="240" w:lineRule="auto"/>
              <w:jc w:val="left"/>
            </w:pPr>
            <w:r>
              <w:rPr>
                <w:rFonts w:ascii="Arial" w:eastAsia="Arial" w:hAnsi="Arial"/>
                <w:sz w:val="15"/>
              </w:rPr>
              <w:t>Supports claims about cultural defaults and the politics embedded in training distributions</w:t>
            </w:r>
          </w:p>
        </w:tc>
        <w:tc>
          <w:tcPr>
            <w:tcW w:w="2873" w:type="dxa"/>
            <w:shd w:val="clear" w:color="auto" w:fill="F5F7FA"/>
          </w:tcPr>
          <w:p w14:paraId="0829B2B4" w14:textId="77777777" w:rsidR="00251EBB" w:rsidRDefault="00251EBB" w:rsidP="005F2BC9">
            <w:pPr>
              <w:spacing w:after="0" w:line="240" w:lineRule="auto"/>
              <w:jc w:val="left"/>
            </w:pPr>
            <w:r>
              <w:rPr>
                <w:rFonts w:ascii="Arial" w:eastAsia="Arial" w:hAnsi="Arial"/>
                <w:sz w:val="15"/>
              </w:rPr>
              <w:t>Examines dataset classification rather than virtual-production or video-generation workflows directly</w:t>
            </w:r>
          </w:p>
        </w:tc>
      </w:tr>
      <w:tr w:rsidR="00251EBB" w14:paraId="5B74DC49" w14:textId="77777777" w:rsidTr="005F2BC9">
        <w:trPr>
          <w:cantSplit/>
          <w:jc w:val="center"/>
        </w:trPr>
        <w:tc>
          <w:tcPr>
            <w:tcW w:w="1184" w:type="dxa"/>
          </w:tcPr>
          <w:p w14:paraId="5B09F709" w14:textId="77777777" w:rsidR="00251EBB" w:rsidRDefault="00251EBB" w:rsidP="005F2BC9">
            <w:pPr>
              <w:spacing w:after="0" w:line="240" w:lineRule="auto"/>
              <w:jc w:val="center"/>
            </w:pPr>
            <w:r>
              <w:rPr>
                <w:rFonts w:ascii="Arial" w:eastAsia="Arial" w:hAnsi="Arial"/>
                <w:sz w:val="15"/>
              </w:rPr>
              <w:t>13</w:t>
            </w:r>
          </w:p>
        </w:tc>
        <w:tc>
          <w:tcPr>
            <w:tcW w:w="1420" w:type="dxa"/>
          </w:tcPr>
          <w:p w14:paraId="2856F77A" w14:textId="77777777" w:rsidR="00251EBB" w:rsidRDefault="00251EBB" w:rsidP="005F2BC9">
            <w:pPr>
              <w:spacing w:after="0" w:line="240" w:lineRule="auto"/>
              <w:jc w:val="left"/>
            </w:pPr>
            <w:r>
              <w:rPr>
                <w:rFonts w:ascii="Arial" w:eastAsia="Arial" w:hAnsi="Arial"/>
                <w:sz w:val="15"/>
              </w:rPr>
              <w:t>Crawford (2021)</w:t>
            </w:r>
          </w:p>
        </w:tc>
        <w:tc>
          <w:tcPr>
            <w:tcW w:w="1810" w:type="dxa"/>
          </w:tcPr>
          <w:p w14:paraId="2B60C9AE" w14:textId="77777777" w:rsidR="00251EBB" w:rsidRDefault="00251EBB" w:rsidP="005F2BC9">
            <w:pPr>
              <w:spacing w:after="0" w:line="240" w:lineRule="auto"/>
              <w:jc w:val="left"/>
            </w:pPr>
            <w:r>
              <w:rPr>
                <w:rFonts w:ascii="Arial" w:eastAsia="Arial" w:hAnsi="Arial"/>
                <w:sz w:val="15"/>
              </w:rPr>
              <w:t>Critical AI monograph</w:t>
            </w:r>
          </w:p>
        </w:tc>
        <w:tc>
          <w:tcPr>
            <w:tcW w:w="2350" w:type="dxa"/>
          </w:tcPr>
          <w:p w14:paraId="3B25E131" w14:textId="77777777" w:rsidR="00251EBB" w:rsidRDefault="00251EBB" w:rsidP="005F2BC9">
            <w:pPr>
              <w:spacing w:after="0" w:line="240" w:lineRule="auto"/>
              <w:jc w:val="left"/>
            </w:pPr>
            <w:r>
              <w:rPr>
                <w:rFonts w:ascii="Arial" w:eastAsia="Arial" w:hAnsi="Arial"/>
                <w:sz w:val="15"/>
              </w:rPr>
              <w:t>Material and institutional infrastructures of AI</w:t>
            </w:r>
          </w:p>
        </w:tc>
        <w:tc>
          <w:tcPr>
            <w:tcW w:w="2790" w:type="dxa"/>
          </w:tcPr>
          <w:p w14:paraId="373CEB7E" w14:textId="77777777" w:rsidR="00251EBB" w:rsidRDefault="00251EBB" w:rsidP="005F2BC9">
            <w:pPr>
              <w:spacing w:after="0" w:line="240" w:lineRule="auto"/>
              <w:jc w:val="left"/>
            </w:pPr>
            <w:r>
              <w:rPr>
                <w:rFonts w:ascii="Arial" w:eastAsia="Arial" w:hAnsi="Arial"/>
                <w:sz w:val="15"/>
              </w:rPr>
              <w:t>Interdisciplinary synthesis of AI supply chains, labour, resources and institutions</w:t>
            </w:r>
          </w:p>
        </w:tc>
        <w:tc>
          <w:tcPr>
            <w:tcW w:w="3050" w:type="dxa"/>
          </w:tcPr>
          <w:p w14:paraId="372320AF" w14:textId="77777777" w:rsidR="00251EBB" w:rsidRDefault="00251EBB" w:rsidP="005F2BC9">
            <w:pPr>
              <w:spacing w:after="0" w:line="240" w:lineRule="auto"/>
              <w:jc w:val="left"/>
            </w:pPr>
            <w:r>
              <w:rPr>
                <w:rFonts w:ascii="Arial" w:eastAsia="Arial" w:hAnsi="Arial"/>
                <w:sz w:val="15"/>
              </w:rPr>
              <w:t>Supports the claim that generative systems depend on material and organisational infrastructures</w:t>
            </w:r>
          </w:p>
        </w:tc>
        <w:tc>
          <w:tcPr>
            <w:tcW w:w="2873" w:type="dxa"/>
          </w:tcPr>
          <w:p w14:paraId="59A9A03B" w14:textId="77777777" w:rsidR="00251EBB" w:rsidRDefault="00251EBB" w:rsidP="005F2BC9">
            <w:pPr>
              <w:spacing w:after="0" w:line="240" w:lineRule="auto"/>
              <w:jc w:val="left"/>
            </w:pPr>
            <w:r>
              <w:rPr>
                <w:rFonts w:ascii="Arial" w:eastAsia="Arial" w:hAnsi="Arial"/>
                <w:sz w:val="15"/>
              </w:rPr>
              <w:t>Broad critical account; not a technical evaluation of the systems discussed here</w:t>
            </w:r>
          </w:p>
        </w:tc>
      </w:tr>
      <w:tr w:rsidR="00251EBB" w14:paraId="2A09CF9F" w14:textId="77777777" w:rsidTr="005F2BC9">
        <w:trPr>
          <w:cantSplit/>
          <w:jc w:val="center"/>
        </w:trPr>
        <w:tc>
          <w:tcPr>
            <w:tcW w:w="1184" w:type="dxa"/>
            <w:shd w:val="clear" w:color="auto" w:fill="F5F7FA"/>
          </w:tcPr>
          <w:p w14:paraId="2D33C918" w14:textId="77777777" w:rsidR="00251EBB" w:rsidRDefault="00251EBB" w:rsidP="005F2BC9">
            <w:pPr>
              <w:spacing w:after="0" w:line="240" w:lineRule="auto"/>
              <w:jc w:val="center"/>
            </w:pPr>
            <w:r>
              <w:rPr>
                <w:rFonts w:ascii="Arial" w:eastAsia="Arial" w:hAnsi="Arial"/>
                <w:sz w:val="15"/>
              </w:rPr>
              <w:t>14</w:t>
            </w:r>
          </w:p>
        </w:tc>
        <w:tc>
          <w:tcPr>
            <w:tcW w:w="1420" w:type="dxa"/>
            <w:shd w:val="clear" w:color="auto" w:fill="F5F7FA"/>
          </w:tcPr>
          <w:p w14:paraId="36B658C3" w14:textId="77777777" w:rsidR="00251EBB" w:rsidRDefault="00251EBB" w:rsidP="005F2BC9">
            <w:pPr>
              <w:spacing w:after="0" w:line="240" w:lineRule="auto"/>
              <w:jc w:val="left"/>
            </w:pPr>
            <w:r>
              <w:rPr>
                <w:rFonts w:ascii="Arial" w:eastAsia="Arial" w:hAnsi="Arial"/>
                <w:sz w:val="15"/>
              </w:rPr>
              <w:t>Bucher (2018)</w:t>
            </w:r>
          </w:p>
        </w:tc>
        <w:tc>
          <w:tcPr>
            <w:tcW w:w="1810" w:type="dxa"/>
            <w:shd w:val="clear" w:color="auto" w:fill="F5F7FA"/>
          </w:tcPr>
          <w:p w14:paraId="0C780FC7" w14:textId="77777777" w:rsidR="00251EBB" w:rsidRDefault="00251EBB" w:rsidP="005F2BC9">
            <w:pPr>
              <w:spacing w:after="0" w:line="240" w:lineRule="auto"/>
              <w:jc w:val="left"/>
            </w:pPr>
            <w:r>
              <w:rPr>
                <w:rFonts w:ascii="Arial" w:eastAsia="Arial" w:hAnsi="Arial"/>
                <w:sz w:val="15"/>
              </w:rPr>
              <w:t>Algorithm and power monograph</w:t>
            </w:r>
          </w:p>
        </w:tc>
        <w:tc>
          <w:tcPr>
            <w:tcW w:w="2350" w:type="dxa"/>
            <w:shd w:val="clear" w:color="auto" w:fill="F5F7FA"/>
          </w:tcPr>
          <w:p w14:paraId="7501FE16" w14:textId="77777777" w:rsidR="00251EBB" w:rsidRDefault="00251EBB" w:rsidP="005F2BC9">
            <w:pPr>
              <w:spacing w:after="0" w:line="240" w:lineRule="auto"/>
              <w:jc w:val="left"/>
            </w:pPr>
            <w:r>
              <w:rPr>
                <w:rFonts w:ascii="Arial" w:eastAsia="Arial" w:hAnsi="Arial"/>
                <w:sz w:val="15"/>
              </w:rPr>
              <w:t>Algorithmic power</w:t>
            </w:r>
          </w:p>
        </w:tc>
        <w:tc>
          <w:tcPr>
            <w:tcW w:w="2790" w:type="dxa"/>
            <w:shd w:val="clear" w:color="auto" w:fill="F5F7FA"/>
          </w:tcPr>
          <w:p w14:paraId="687D860E" w14:textId="77777777" w:rsidR="00251EBB" w:rsidRDefault="00251EBB" w:rsidP="005F2BC9">
            <w:pPr>
              <w:spacing w:after="0" w:line="240" w:lineRule="auto"/>
              <w:jc w:val="left"/>
            </w:pPr>
            <w:r>
              <w:rPr>
                <w:rFonts w:ascii="Arial" w:eastAsia="Arial" w:hAnsi="Arial"/>
                <w:sz w:val="15"/>
              </w:rPr>
              <w:t>Conceptual and case-based analysis of how algorithmic systems shape conditions of action</w:t>
            </w:r>
          </w:p>
        </w:tc>
        <w:tc>
          <w:tcPr>
            <w:tcW w:w="3050" w:type="dxa"/>
            <w:shd w:val="clear" w:color="auto" w:fill="F5F7FA"/>
          </w:tcPr>
          <w:p w14:paraId="328CAEDD" w14:textId="77777777" w:rsidR="00251EBB" w:rsidRDefault="00251EBB" w:rsidP="005F2BC9">
            <w:pPr>
              <w:spacing w:after="0" w:line="240" w:lineRule="auto"/>
              <w:jc w:val="left"/>
            </w:pPr>
            <w:r>
              <w:rPr>
                <w:rFonts w:ascii="Arial" w:eastAsia="Arial" w:hAnsi="Arial"/>
                <w:sz w:val="15"/>
              </w:rPr>
              <w:t>Supports the idea that power operates by structuring available and likely choices</w:t>
            </w:r>
          </w:p>
        </w:tc>
        <w:tc>
          <w:tcPr>
            <w:tcW w:w="2873" w:type="dxa"/>
            <w:shd w:val="clear" w:color="auto" w:fill="F5F7FA"/>
          </w:tcPr>
          <w:p w14:paraId="5A1D1DB7" w14:textId="77777777" w:rsidR="00251EBB" w:rsidRDefault="00251EBB" w:rsidP="005F2BC9">
            <w:pPr>
              <w:spacing w:after="0" w:line="240" w:lineRule="auto"/>
              <w:jc w:val="left"/>
            </w:pPr>
            <w:r>
              <w:rPr>
                <w:rFonts w:ascii="Arial" w:eastAsia="Arial" w:hAnsi="Arial"/>
                <w:sz w:val="15"/>
              </w:rPr>
              <w:t>Does not address screen-space production as its primary object</w:t>
            </w:r>
          </w:p>
        </w:tc>
      </w:tr>
      <w:tr w:rsidR="00251EBB" w14:paraId="0818EE31" w14:textId="77777777" w:rsidTr="005F2BC9">
        <w:trPr>
          <w:cantSplit/>
          <w:jc w:val="center"/>
        </w:trPr>
        <w:tc>
          <w:tcPr>
            <w:tcW w:w="1184" w:type="dxa"/>
          </w:tcPr>
          <w:p w14:paraId="556ECDF1" w14:textId="77777777" w:rsidR="00251EBB" w:rsidRDefault="00251EBB" w:rsidP="005F2BC9">
            <w:pPr>
              <w:spacing w:after="0" w:line="240" w:lineRule="auto"/>
              <w:jc w:val="center"/>
            </w:pPr>
            <w:r>
              <w:rPr>
                <w:rFonts w:ascii="Arial" w:eastAsia="Arial" w:hAnsi="Arial"/>
                <w:sz w:val="15"/>
              </w:rPr>
              <w:t>15</w:t>
            </w:r>
          </w:p>
        </w:tc>
        <w:tc>
          <w:tcPr>
            <w:tcW w:w="1420" w:type="dxa"/>
          </w:tcPr>
          <w:p w14:paraId="16DF85D2" w14:textId="77777777" w:rsidR="00251EBB" w:rsidRDefault="00251EBB" w:rsidP="005F2BC9">
            <w:pPr>
              <w:spacing w:after="0" w:line="240" w:lineRule="auto"/>
              <w:jc w:val="left"/>
            </w:pPr>
            <w:r>
              <w:rPr>
                <w:rFonts w:ascii="Arial" w:eastAsia="Arial" w:hAnsi="Arial"/>
                <w:sz w:val="15"/>
              </w:rPr>
              <w:t>Nieborg and Poell (2018)</w:t>
            </w:r>
          </w:p>
        </w:tc>
        <w:tc>
          <w:tcPr>
            <w:tcW w:w="1810" w:type="dxa"/>
          </w:tcPr>
          <w:p w14:paraId="181D9904" w14:textId="77777777" w:rsidR="00251EBB" w:rsidRDefault="00251EBB" w:rsidP="005F2BC9">
            <w:pPr>
              <w:spacing w:after="0" w:line="240" w:lineRule="auto"/>
              <w:jc w:val="left"/>
            </w:pPr>
            <w:r>
              <w:rPr>
                <w:rFonts w:ascii="Arial" w:eastAsia="Arial" w:hAnsi="Arial"/>
                <w:sz w:val="15"/>
              </w:rPr>
              <w:t>Peer-reviewed platform-studies article</w:t>
            </w:r>
          </w:p>
        </w:tc>
        <w:tc>
          <w:tcPr>
            <w:tcW w:w="2350" w:type="dxa"/>
          </w:tcPr>
          <w:p w14:paraId="4283EC1F" w14:textId="77777777" w:rsidR="00251EBB" w:rsidRDefault="00251EBB" w:rsidP="005F2BC9">
            <w:pPr>
              <w:spacing w:after="0" w:line="240" w:lineRule="auto"/>
              <w:jc w:val="left"/>
            </w:pPr>
            <w:r>
              <w:rPr>
                <w:rFonts w:ascii="Arial" w:eastAsia="Arial" w:hAnsi="Arial"/>
                <w:sz w:val="15"/>
              </w:rPr>
              <w:t>Platformisation of cultural production</w:t>
            </w:r>
          </w:p>
        </w:tc>
        <w:tc>
          <w:tcPr>
            <w:tcW w:w="2790" w:type="dxa"/>
          </w:tcPr>
          <w:p w14:paraId="5A06278B" w14:textId="77777777" w:rsidR="00251EBB" w:rsidRDefault="00251EBB" w:rsidP="005F2BC9">
            <w:pPr>
              <w:spacing w:after="0" w:line="240" w:lineRule="auto"/>
              <w:jc w:val="left"/>
            </w:pPr>
            <w:r>
              <w:rPr>
                <w:rFonts w:ascii="Arial" w:eastAsia="Arial" w:hAnsi="Arial"/>
                <w:sz w:val="15"/>
              </w:rPr>
              <w:t>Theoretical analysis of datafication, contingency and platform governance</w:t>
            </w:r>
          </w:p>
        </w:tc>
        <w:tc>
          <w:tcPr>
            <w:tcW w:w="3050" w:type="dxa"/>
          </w:tcPr>
          <w:p w14:paraId="3927E7DF" w14:textId="77777777" w:rsidR="00251EBB" w:rsidRDefault="00251EBB" w:rsidP="005F2BC9">
            <w:pPr>
              <w:spacing w:after="0" w:line="240" w:lineRule="auto"/>
              <w:jc w:val="left"/>
            </w:pPr>
            <w:r>
              <w:rPr>
                <w:rFonts w:ascii="Arial" w:eastAsia="Arial" w:hAnsi="Arial"/>
                <w:sz w:val="15"/>
              </w:rPr>
              <w:t>Supports the discussion of cultural production shaped by platform rules and infrastructures</w:t>
            </w:r>
          </w:p>
        </w:tc>
        <w:tc>
          <w:tcPr>
            <w:tcW w:w="2873" w:type="dxa"/>
          </w:tcPr>
          <w:p w14:paraId="4AF730D3" w14:textId="77777777" w:rsidR="00251EBB" w:rsidRDefault="00251EBB" w:rsidP="005F2BC9">
            <w:pPr>
              <w:spacing w:after="0" w:line="240" w:lineRule="auto"/>
              <w:jc w:val="left"/>
            </w:pPr>
            <w:r>
              <w:rPr>
                <w:rFonts w:ascii="Arial" w:eastAsia="Arial" w:hAnsi="Arial"/>
                <w:sz w:val="15"/>
              </w:rPr>
              <w:t>Provides a general platform framework rather than evidence about a single production pipeline</w:t>
            </w:r>
          </w:p>
        </w:tc>
      </w:tr>
      <w:tr w:rsidR="00251EBB" w14:paraId="5E8DD494" w14:textId="77777777" w:rsidTr="005F2BC9">
        <w:trPr>
          <w:cantSplit/>
          <w:jc w:val="center"/>
        </w:trPr>
        <w:tc>
          <w:tcPr>
            <w:tcW w:w="1184" w:type="dxa"/>
            <w:shd w:val="clear" w:color="auto" w:fill="F5F7FA"/>
          </w:tcPr>
          <w:p w14:paraId="3F76719E" w14:textId="77777777" w:rsidR="00251EBB" w:rsidRDefault="00251EBB" w:rsidP="005F2BC9">
            <w:pPr>
              <w:spacing w:after="0" w:line="240" w:lineRule="auto"/>
              <w:jc w:val="center"/>
            </w:pPr>
            <w:r>
              <w:rPr>
                <w:rFonts w:ascii="Arial" w:eastAsia="Arial" w:hAnsi="Arial"/>
                <w:sz w:val="15"/>
              </w:rPr>
              <w:lastRenderedPageBreak/>
              <w:t>16</w:t>
            </w:r>
          </w:p>
        </w:tc>
        <w:tc>
          <w:tcPr>
            <w:tcW w:w="1420" w:type="dxa"/>
            <w:shd w:val="clear" w:color="auto" w:fill="F5F7FA"/>
          </w:tcPr>
          <w:p w14:paraId="3DF18D7F" w14:textId="77777777" w:rsidR="00251EBB" w:rsidRDefault="00251EBB" w:rsidP="005F2BC9">
            <w:pPr>
              <w:spacing w:after="0" w:line="240" w:lineRule="auto"/>
              <w:jc w:val="left"/>
            </w:pPr>
            <w:r>
              <w:rPr>
                <w:rFonts w:ascii="Arial" w:eastAsia="Arial" w:hAnsi="Arial"/>
                <w:sz w:val="15"/>
              </w:rPr>
              <w:t>Plantin et al. (2018)</w:t>
            </w:r>
          </w:p>
        </w:tc>
        <w:tc>
          <w:tcPr>
            <w:tcW w:w="1810" w:type="dxa"/>
            <w:shd w:val="clear" w:color="auto" w:fill="F5F7FA"/>
          </w:tcPr>
          <w:p w14:paraId="76CE0578" w14:textId="77777777" w:rsidR="00251EBB" w:rsidRDefault="00251EBB" w:rsidP="005F2BC9">
            <w:pPr>
              <w:spacing w:after="0" w:line="240" w:lineRule="auto"/>
              <w:jc w:val="left"/>
            </w:pPr>
            <w:r>
              <w:rPr>
                <w:rFonts w:ascii="Arial" w:eastAsia="Arial" w:hAnsi="Arial"/>
                <w:sz w:val="15"/>
              </w:rPr>
              <w:t>Peer-reviewed infrastructure/platform article</w:t>
            </w:r>
          </w:p>
        </w:tc>
        <w:tc>
          <w:tcPr>
            <w:tcW w:w="2350" w:type="dxa"/>
            <w:shd w:val="clear" w:color="auto" w:fill="F5F7FA"/>
          </w:tcPr>
          <w:p w14:paraId="58B4BF9C" w14:textId="77777777" w:rsidR="00251EBB" w:rsidRDefault="00251EBB" w:rsidP="005F2BC9">
            <w:pPr>
              <w:spacing w:after="0" w:line="240" w:lineRule="auto"/>
              <w:jc w:val="left"/>
            </w:pPr>
            <w:r>
              <w:rPr>
                <w:rFonts w:ascii="Arial" w:eastAsia="Arial" w:hAnsi="Arial"/>
                <w:sz w:val="15"/>
              </w:rPr>
              <w:t>Convergence of platform and infrastructure logics</w:t>
            </w:r>
          </w:p>
        </w:tc>
        <w:tc>
          <w:tcPr>
            <w:tcW w:w="2790" w:type="dxa"/>
            <w:shd w:val="clear" w:color="auto" w:fill="F5F7FA"/>
          </w:tcPr>
          <w:p w14:paraId="2927969F" w14:textId="77777777" w:rsidR="00251EBB" w:rsidRDefault="00251EBB" w:rsidP="005F2BC9">
            <w:pPr>
              <w:spacing w:after="0" w:line="240" w:lineRule="auto"/>
              <w:jc w:val="left"/>
            </w:pPr>
            <w:r>
              <w:rPr>
                <w:rFonts w:ascii="Arial" w:eastAsia="Arial" w:hAnsi="Arial"/>
                <w:sz w:val="15"/>
              </w:rPr>
              <w:t>Comparative conceptual synthesis of infrastructure and platform studies</w:t>
            </w:r>
          </w:p>
        </w:tc>
        <w:tc>
          <w:tcPr>
            <w:tcW w:w="3050" w:type="dxa"/>
            <w:shd w:val="clear" w:color="auto" w:fill="F5F7FA"/>
          </w:tcPr>
          <w:p w14:paraId="6ECA0828" w14:textId="77777777" w:rsidR="00251EBB" w:rsidRDefault="00251EBB" w:rsidP="005F2BC9">
            <w:pPr>
              <w:spacing w:after="0" w:line="240" w:lineRule="auto"/>
              <w:jc w:val="left"/>
            </w:pPr>
            <w:r>
              <w:rPr>
                <w:rFonts w:ascii="Arial" w:eastAsia="Arial" w:hAnsi="Arial"/>
                <w:sz w:val="15"/>
              </w:rPr>
              <w:t>Supports the claim that production tools can acquire infrastructural power while retaining platform controls</w:t>
            </w:r>
          </w:p>
        </w:tc>
        <w:tc>
          <w:tcPr>
            <w:tcW w:w="2873" w:type="dxa"/>
            <w:shd w:val="clear" w:color="auto" w:fill="F5F7FA"/>
          </w:tcPr>
          <w:p w14:paraId="57A7E1CA" w14:textId="77777777" w:rsidR="00251EBB" w:rsidRDefault="00251EBB" w:rsidP="005F2BC9">
            <w:pPr>
              <w:spacing w:after="0" w:line="240" w:lineRule="auto"/>
              <w:jc w:val="left"/>
            </w:pPr>
            <w:r>
              <w:rPr>
                <w:rFonts w:ascii="Arial" w:eastAsia="Arial" w:hAnsi="Arial"/>
                <w:sz w:val="15"/>
              </w:rPr>
              <w:t>Does not establish the degree of infrastructuralisation in the selected screen industries</w:t>
            </w:r>
          </w:p>
        </w:tc>
      </w:tr>
      <w:tr w:rsidR="00251EBB" w14:paraId="4BC2132D" w14:textId="77777777" w:rsidTr="005F2BC9">
        <w:trPr>
          <w:cantSplit/>
          <w:jc w:val="center"/>
        </w:trPr>
        <w:tc>
          <w:tcPr>
            <w:tcW w:w="1184" w:type="dxa"/>
          </w:tcPr>
          <w:p w14:paraId="02211593" w14:textId="77777777" w:rsidR="00251EBB" w:rsidRDefault="00251EBB" w:rsidP="005F2BC9">
            <w:pPr>
              <w:spacing w:after="0" w:line="240" w:lineRule="auto"/>
              <w:jc w:val="center"/>
            </w:pPr>
            <w:r>
              <w:rPr>
                <w:rFonts w:ascii="Arial" w:eastAsia="Arial" w:hAnsi="Arial"/>
                <w:sz w:val="15"/>
              </w:rPr>
              <w:t>17</w:t>
            </w:r>
          </w:p>
        </w:tc>
        <w:tc>
          <w:tcPr>
            <w:tcW w:w="1420" w:type="dxa"/>
          </w:tcPr>
          <w:p w14:paraId="4A4559C8" w14:textId="77777777" w:rsidR="00251EBB" w:rsidRDefault="00251EBB" w:rsidP="005F2BC9">
            <w:pPr>
              <w:spacing w:after="0" w:line="240" w:lineRule="auto"/>
              <w:jc w:val="left"/>
            </w:pPr>
            <w:r>
              <w:rPr>
                <w:rFonts w:ascii="Arial" w:eastAsia="Arial" w:hAnsi="Arial"/>
                <w:sz w:val="15"/>
              </w:rPr>
              <w:t>Jaakkola (2020)</w:t>
            </w:r>
          </w:p>
        </w:tc>
        <w:tc>
          <w:tcPr>
            <w:tcW w:w="1810" w:type="dxa"/>
          </w:tcPr>
          <w:p w14:paraId="61921C08" w14:textId="77777777" w:rsidR="00251EBB" w:rsidRDefault="00251EBB" w:rsidP="005F2BC9">
            <w:pPr>
              <w:spacing w:after="0" w:line="240" w:lineRule="auto"/>
              <w:jc w:val="left"/>
            </w:pPr>
            <w:r>
              <w:rPr>
                <w:rFonts w:ascii="Arial" w:eastAsia="Arial" w:hAnsi="Arial"/>
                <w:sz w:val="15"/>
              </w:rPr>
              <w:t>Methodological article</w:t>
            </w:r>
          </w:p>
        </w:tc>
        <w:tc>
          <w:tcPr>
            <w:tcW w:w="2350" w:type="dxa"/>
          </w:tcPr>
          <w:p w14:paraId="3D4A4F99" w14:textId="77777777" w:rsidR="00251EBB" w:rsidRDefault="00251EBB" w:rsidP="005F2BC9">
            <w:pPr>
              <w:spacing w:after="0" w:line="240" w:lineRule="auto"/>
              <w:jc w:val="left"/>
            </w:pPr>
            <w:r>
              <w:rPr>
                <w:rFonts w:ascii="Arial" w:eastAsia="Arial" w:hAnsi="Arial"/>
                <w:sz w:val="15"/>
              </w:rPr>
              <w:t>Conceptual article design</w:t>
            </w:r>
          </w:p>
        </w:tc>
        <w:tc>
          <w:tcPr>
            <w:tcW w:w="2790" w:type="dxa"/>
          </w:tcPr>
          <w:p w14:paraId="66DC819D" w14:textId="77777777" w:rsidR="00251EBB" w:rsidRDefault="00251EBB" w:rsidP="005F2BC9">
            <w:pPr>
              <w:spacing w:after="0" w:line="240" w:lineRule="auto"/>
              <w:jc w:val="left"/>
            </w:pPr>
            <w:r>
              <w:rPr>
                <w:rFonts w:ascii="Arial" w:eastAsia="Arial" w:hAnsi="Arial"/>
                <w:sz w:val="15"/>
              </w:rPr>
              <w:t>Typology and methodological guidance for conceptual research</w:t>
            </w:r>
          </w:p>
        </w:tc>
        <w:tc>
          <w:tcPr>
            <w:tcW w:w="3050" w:type="dxa"/>
          </w:tcPr>
          <w:p w14:paraId="3465467E" w14:textId="77777777" w:rsidR="00251EBB" w:rsidRDefault="00251EBB" w:rsidP="005F2BC9">
            <w:pPr>
              <w:spacing w:after="0" w:line="240" w:lineRule="auto"/>
              <w:jc w:val="left"/>
            </w:pPr>
            <w:r>
              <w:rPr>
                <w:rFonts w:ascii="Arial" w:eastAsia="Arial" w:hAnsi="Arial"/>
                <w:sz w:val="15"/>
              </w:rPr>
              <w:t>Supports the article's research design and criteria of conceptual differentiation and explanatory reach</w:t>
            </w:r>
          </w:p>
        </w:tc>
        <w:tc>
          <w:tcPr>
            <w:tcW w:w="2873" w:type="dxa"/>
          </w:tcPr>
          <w:p w14:paraId="2C4E1D2D" w14:textId="77777777" w:rsidR="00251EBB" w:rsidRDefault="00251EBB" w:rsidP="005F2BC9">
            <w:pPr>
              <w:spacing w:after="0" w:line="240" w:lineRule="auto"/>
              <w:jc w:val="left"/>
            </w:pPr>
            <w:r>
              <w:rPr>
                <w:rFonts w:ascii="Arial" w:eastAsia="Arial" w:hAnsi="Arial"/>
                <w:sz w:val="15"/>
              </w:rPr>
              <w:t>Does not provide substantive evidence about virtual production or generative media</w:t>
            </w:r>
          </w:p>
        </w:tc>
      </w:tr>
      <w:tr w:rsidR="00251EBB" w14:paraId="6C09371E" w14:textId="77777777" w:rsidTr="005F2BC9">
        <w:trPr>
          <w:cantSplit/>
          <w:jc w:val="center"/>
        </w:trPr>
        <w:tc>
          <w:tcPr>
            <w:tcW w:w="1184" w:type="dxa"/>
            <w:shd w:val="clear" w:color="auto" w:fill="F5F7FA"/>
          </w:tcPr>
          <w:p w14:paraId="6F66784A" w14:textId="77777777" w:rsidR="00251EBB" w:rsidRDefault="00251EBB" w:rsidP="005F2BC9">
            <w:pPr>
              <w:spacing w:after="0" w:line="240" w:lineRule="auto"/>
              <w:jc w:val="center"/>
            </w:pPr>
            <w:r>
              <w:rPr>
                <w:rFonts w:ascii="Arial" w:eastAsia="Arial" w:hAnsi="Arial"/>
                <w:sz w:val="15"/>
              </w:rPr>
              <w:t>18</w:t>
            </w:r>
          </w:p>
        </w:tc>
        <w:tc>
          <w:tcPr>
            <w:tcW w:w="1420" w:type="dxa"/>
            <w:shd w:val="clear" w:color="auto" w:fill="F5F7FA"/>
          </w:tcPr>
          <w:p w14:paraId="4921B202" w14:textId="77777777" w:rsidR="00251EBB" w:rsidRDefault="00251EBB" w:rsidP="005F2BC9">
            <w:pPr>
              <w:spacing w:after="0" w:line="240" w:lineRule="auto"/>
              <w:jc w:val="left"/>
            </w:pPr>
            <w:r>
              <w:rPr>
                <w:rFonts w:ascii="Arial" w:eastAsia="Arial" w:hAnsi="Arial"/>
                <w:sz w:val="15"/>
              </w:rPr>
              <w:t>Chen and Zhao (2023)</w:t>
            </w:r>
          </w:p>
        </w:tc>
        <w:tc>
          <w:tcPr>
            <w:tcW w:w="1810" w:type="dxa"/>
            <w:shd w:val="clear" w:color="auto" w:fill="F5F7FA"/>
          </w:tcPr>
          <w:p w14:paraId="2CB6CBC6" w14:textId="77777777" w:rsidR="00251EBB" w:rsidRDefault="00251EBB" w:rsidP="005F2BC9">
            <w:pPr>
              <w:spacing w:after="0" w:line="240" w:lineRule="auto"/>
              <w:jc w:val="left"/>
            </w:pPr>
            <w:r>
              <w:rPr>
                <w:rFonts w:ascii="Arial" w:eastAsia="Arial" w:hAnsi="Arial"/>
                <w:sz w:val="15"/>
              </w:rPr>
              <w:t>Technical/industry monograph</w:t>
            </w:r>
          </w:p>
        </w:tc>
        <w:tc>
          <w:tcPr>
            <w:tcW w:w="2350" w:type="dxa"/>
            <w:shd w:val="clear" w:color="auto" w:fill="F5F7FA"/>
          </w:tcPr>
          <w:p w14:paraId="7BB4249F" w14:textId="77777777" w:rsidR="00251EBB" w:rsidRDefault="00251EBB" w:rsidP="005F2BC9">
            <w:pPr>
              <w:spacing w:after="0" w:line="240" w:lineRule="auto"/>
              <w:jc w:val="left"/>
            </w:pPr>
            <w:r>
              <w:rPr>
                <w:rFonts w:ascii="Arial" w:eastAsia="Arial" w:hAnsi="Arial"/>
                <w:sz w:val="15"/>
              </w:rPr>
              <w:t>Virtualised film production</w:t>
            </w:r>
          </w:p>
        </w:tc>
        <w:tc>
          <w:tcPr>
            <w:tcW w:w="2790" w:type="dxa"/>
            <w:shd w:val="clear" w:color="auto" w:fill="F5F7FA"/>
          </w:tcPr>
          <w:p w14:paraId="48EDE2B8" w14:textId="77777777" w:rsidR="00251EBB" w:rsidRDefault="00251EBB" w:rsidP="005F2BC9">
            <w:pPr>
              <w:spacing w:after="0" w:line="240" w:lineRule="auto"/>
              <w:jc w:val="left"/>
            </w:pPr>
            <w:r>
              <w:rPr>
                <w:rFonts w:ascii="Arial" w:eastAsia="Arial" w:hAnsi="Arial"/>
                <w:sz w:val="15"/>
              </w:rPr>
              <w:t>Technical description of virtual-production equipment, calibration and workflow requirements</w:t>
            </w:r>
          </w:p>
        </w:tc>
        <w:tc>
          <w:tcPr>
            <w:tcW w:w="3050" w:type="dxa"/>
            <w:shd w:val="clear" w:color="auto" w:fill="F5F7FA"/>
          </w:tcPr>
          <w:p w14:paraId="691F8987" w14:textId="77777777" w:rsidR="00251EBB" w:rsidRDefault="00251EBB" w:rsidP="005F2BC9">
            <w:pPr>
              <w:spacing w:after="0" w:line="240" w:lineRule="auto"/>
              <w:jc w:val="left"/>
            </w:pPr>
            <w:r>
              <w:rPr>
                <w:rFonts w:ascii="Arial" w:eastAsia="Arial" w:hAnsi="Arial"/>
                <w:sz w:val="15"/>
              </w:rPr>
              <w:t>Supports discussion of tracking, lens data, calibration, lighting and render coordination</w:t>
            </w:r>
          </w:p>
        </w:tc>
        <w:tc>
          <w:tcPr>
            <w:tcW w:w="2873" w:type="dxa"/>
            <w:shd w:val="clear" w:color="auto" w:fill="F5F7FA"/>
          </w:tcPr>
          <w:p w14:paraId="79EBF454" w14:textId="77777777" w:rsidR="00251EBB" w:rsidRDefault="00251EBB" w:rsidP="005F2BC9">
            <w:pPr>
              <w:spacing w:after="0" w:line="240" w:lineRule="auto"/>
              <w:jc w:val="left"/>
            </w:pPr>
            <w:r>
              <w:rPr>
                <w:rFonts w:ascii="Arial" w:eastAsia="Arial" w:hAnsi="Arial"/>
                <w:sz w:val="15"/>
              </w:rPr>
              <w:t>Technical handbook evidence; does not independently measure prevalence or labour outcomes</w:t>
            </w:r>
          </w:p>
        </w:tc>
      </w:tr>
      <w:tr w:rsidR="00251EBB" w14:paraId="13619921" w14:textId="77777777" w:rsidTr="005F2BC9">
        <w:trPr>
          <w:cantSplit/>
          <w:jc w:val="center"/>
        </w:trPr>
        <w:tc>
          <w:tcPr>
            <w:tcW w:w="1184" w:type="dxa"/>
          </w:tcPr>
          <w:p w14:paraId="38947CCD" w14:textId="77777777" w:rsidR="00251EBB" w:rsidRDefault="00251EBB" w:rsidP="005F2BC9">
            <w:pPr>
              <w:spacing w:after="0" w:line="240" w:lineRule="auto"/>
              <w:jc w:val="center"/>
            </w:pPr>
            <w:r>
              <w:rPr>
                <w:rFonts w:ascii="Arial" w:eastAsia="Arial" w:hAnsi="Arial"/>
                <w:sz w:val="15"/>
              </w:rPr>
              <w:t>19</w:t>
            </w:r>
          </w:p>
        </w:tc>
        <w:tc>
          <w:tcPr>
            <w:tcW w:w="1420" w:type="dxa"/>
          </w:tcPr>
          <w:p w14:paraId="3384848A" w14:textId="77777777" w:rsidR="00251EBB" w:rsidRDefault="00251EBB" w:rsidP="005F2BC9">
            <w:pPr>
              <w:spacing w:after="0" w:line="240" w:lineRule="auto"/>
              <w:jc w:val="left"/>
            </w:pPr>
            <w:r>
              <w:rPr>
                <w:rFonts w:ascii="Arial" w:eastAsia="Arial" w:hAnsi="Arial"/>
                <w:sz w:val="15"/>
              </w:rPr>
              <w:t>Swords and Willment (2024)</w:t>
            </w:r>
          </w:p>
        </w:tc>
        <w:tc>
          <w:tcPr>
            <w:tcW w:w="1810" w:type="dxa"/>
          </w:tcPr>
          <w:p w14:paraId="7DDD6138" w14:textId="77777777" w:rsidR="00251EBB" w:rsidRDefault="00251EBB" w:rsidP="005F2BC9">
            <w:pPr>
              <w:spacing w:after="0" w:line="240" w:lineRule="auto"/>
              <w:jc w:val="left"/>
            </w:pPr>
            <w:r>
              <w:rPr>
                <w:rFonts w:ascii="Arial" w:eastAsia="Arial" w:hAnsi="Arial"/>
                <w:sz w:val="15"/>
              </w:rPr>
              <w:t>Peer-reviewed research-agenda article</w:t>
            </w:r>
          </w:p>
        </w:tc>
        <w:tc>
          <w:tcPr>
            <w:tcW w:w="2350" w:type="dxa"/>
          </w:tcPr>
          <w:p w14:paraId="30E79F4D" w14:textId="77777777" w:rsidR="00251EBB" w:rsidRDefault="00251EBB" w:rsidP="005F2BC9">
            <w:pPr>
              <w:spacing w:after="0" w:line="240" w:lineRule="auto"/>
              <w:jc w:val="left"/>
            </w:pPr>
            <w:r>
              <w:rPr>
                <w:rFonts w:ascii="Arial" w:eastAsia="Arial" w:hAnsi="Arial"/>
                <w:sz w:val="15"/>
              </w:rPr>
              <w:t>Emergence of virtual production</w:t>
            </w:r>
          </w:p>
        </w:tc>
        <w:tc>
          <w:tcPr>
            <w:tcW w:w="2790" w:type="dxa"/>
          </w:tcPr>
          <w:p w14:paraId="40D70D7C" w14:textId="77777777" w:rsidR="00251EBB" w:rsidRDefault="00251EBB" w:rsidP="005F2BC9">
            <w:pPr>
              <w:spacing w:after="0" w:line="240" w:lineRule="auto"/>
              <w:jc w:val="left"/>
            </w:pPr>
            <w:r>
              <w:rPr>
                <w:rFonts w:ascii="Arial" w:eastAsia="Arial" w:hAnsi="Arial"/>
                <w:sz w:val="15"/>
              </w:rPr>
              <w:t>Synthesis of industry development, skills, work practices and research needs</w:t>
            </w:r>
          </w:p>
        </w:tc>
        <w:tc>
          <w:tcPr>
            <w:tcW w:w="3050" w:type="dxa"/>
          </w:tcPr>
          <w:p w14:paraId="152D36F3" w14:textId="77777777" w:rsidR="00251EBB" w:rsidRDefault="00251EBB" w:rsidP="005F2BC9">
            <w:pPr>
              <w:spacing w:after="0" w:line="240" w:lineRule="auto"/>
              <w:jc w:val="left"/>
            </w:pPr>
            <w:r>
              <w:rPr>
                <w:rFonts w:ascii="Arial" w:eastAsia="Arial" w:hAnsi="Arial"/>
                <w:sz w:val="15"/>
              </w:rPr>
              <w:t>Supports the claim that virtual production is project-specific and raises labour and coordination questions</w:t>
            </w:r>
          </w:p>
        </w:tc>
        <w:tc>
          <w:tcPr>
            <w:tcW w:w="2873" w:type="dxa"/>
          </w:tcPr>
          <w:p w14:paraId="02A1C725" w14:textId="77777777" w:rsidR="00251EBB" w:rsidRDefault="00251EBB" w:rsidP="005F2BC9">
            <w:pPr>
              <w:spacing w:after="0" w:line="240" w:lineRule="auto"/>
              <w:jc w:val="left"/>
            </w:pPr>
            <w:r>
              <w:rPr>
                <w:rFonts w:ascii="Arial" w:eastAsia="Arial" w:hAnsi="Arial"/>
                <w:sz w:val="15"/>
              </w:rPr>
              <w:t>Research-agenda format; does not offer representative industry-wide estimates</w:t>
            </w:r>
          </w:p>
        </w:tc>
      </w:tr>
      <w:tr w:rsidR="00251EBB" w14:paraId="27CEF41E" w14:textId="77777777" w:rsidTr="005F2BC9">
        <w:trPr>
          <w:cantSplit/>
          <w:jc w:val="center"/>
        </w:trPr>
        <w:tc>
          <w:tcPr>
            <w:tcW w:w="1184" w:type="dxa"/>
            <w:shd w:val="clear" w:color="auto" w:fill="F5F7FA"/>
          </w:tcPr>
          <w:p w14:paraId="223C53CB" w14:textId="77777777" w:rsidR="00251EBB" w:rsidRDefault="00251EBB" w:rsidP="005F2BC9">
            <w:pPr>
              <w:spacing w:after="0" w:line="240" w:lineRule="auto"/>
              <w:jc w:val="center"/>
            </w:pPr>
            <w:r>
              <w:rPr>
                <w:rFonts w:ascii="Arial" w:eastAsia="Arial" w:hAnsi="Arial"/>
                <w:sz w:val="15"/>
              </w:rPr>
              <w:t>20</w:t>
            </w:r>
          </w:p>
        </w:tc>
        <w:tc>
          <w:tcPr>
            <w:tcW w:w="1420" w:type="dxa"/>
            <w:shd w:val="clear" w:color="auto" w:fill="F5F7FA"/>
          </w:tcPr>
          <w:p w14:paraId="7F676431" w14:textId="77777777" w:rsidR="00251EBB" w:rsidRDefault="00251EBB" w:rsidP="005F2BC9">
            <w:pPr>
              <w:spacing w:after="0" w:line="240" w:lineRule="auto"/>
              <w:jc w:val="left"/>
            </w:pPr>
            <w:r>
              <w:rPr>
                <w:rFonts w:ascii="Arial" w:eastAsia="Arial" w:hAnsi="Arial"/>
                <w:sz w:val="15"/>
              </w:rPr>
              <w:t>Dean et al. (2026)</w:t>
            </w:r>
          </w:p>
        </w:tc>
        <w:tc>
          <w:tcPr>
            <w:tcW w:w="1810" w:type="dxa"/>
            <w:shd w:val="clear" w:color="auto" w:fill="F5F7FA"/>
          </w:tcPr>
          <w:p w14:paraId="3C7B96A6" w14:textId="77777777" w:rsidR="00251EBB" w:rsidRDefault="00251EBB" w:rsidP="005F2BC9">
            <w:pPr>
              <w:spacing w:after="0" w:line="240" w:lineRule="auto"/>
              <w:jc w:val="left"/>
            </w:pPr>
            <w:r>
              <w:rPr>
                <w:rFonts w:ascii="Arial" w:eastAsia="Arial" w:hAnsi="Arial"/>
                <w:sz w:val="15"/>
              </w:rPr>
              <w:t>Peer-reviewed workflow article</w:t>
            </w:r>
          </w:p>
        </w:tc>
        <w:tc>
          <w:tcPr>
            <w:tcW w:w="2350" w:type="dxa"/>
            <w:shd w:val="clear" w:color="auto" w:fill="F5F7FA"/>
          </w:tcPr>
          <w:p w14:paraId="6C4F390A" w14:textId="77777777" w:rsidR="00251EBB" w:rsidRDefault="00251EBB" w:rsidP="005F2BC9">
            <w:pPr>
              <w:spacing w:after="0" w:line="240" w:lineRule="auto"/>
              <w:jc w:val="left"/>
            </w:pPr>
            <w:r>
              <w:rPr>
                <w:rFonts w:ascii="Arial" w:eastAsia="Arial" w:hAnsi="Arial"/>
                <w:sz w:val="15"/>
              </w:rPr>
              <w:t>Industrial workflow for virtual-production filmmaking</w:t>
            </w:r>
          </w:p>
        </w:tc>
        <w:tc>
          <w:tcPr>
            <w:tcW w:w="2790" w:type="dxa"/>
            <w:shd w:val="clear" w:color="auto" w:fill="F5F7FA"/>
          </w:tcPr>
          <w:p w14:paraId="364C3390" w14:textId="77777777" w:rsidR="00251EBB" w:rsidRDefault="00251EBB" w:rsidP="005F2BC9">
            <w:pPr>
              <w:spacing w:after="0" w:line="240" w:lineRule="auto"/>
              <w:jc w:val="left"/>
            </w:pPr>
            <w:r>
              <w:rPr>
                <w:rFonts w:ascii="Arial" w:eastAsia="Arial" w:hAnsi="Arial"/>
                <w:sz w:val="15"/>
              </w:rPr>
              <w:t>Workflow-focused analysis and development of an industrial production framework</w:t>
            </w:r>
          </w:p>
        </w:tc>
        <w:tc>
          <w:tcPr>
            <w:tcW w:w="3050" w:type="dxa"/>
            <w:shd w:val="clear" w:color="auto" w:fill="F5F7FA"/>
          </w:tcPr>
          <w:p w14:paraId="2462E9C4" w14:textId="77777777" w:rsidR="00251EBB" w:rsidRDefault="00251EBB" w:rsidP="005F2BC9">
            <w:pPr>
              <w:spacing w:after="0" w:line="240" w:lineRule="auto"/>
              <w:jc w:val="left"/>
            </w:pPr>
            <w:r>
              <w:rPr>
                <w:rFonts w:ascii="Arial" w:eastAsia="Arial" w:hAnsi="Arial"/>
                <w:sz w:val="15"/>
              </w:rPr>
              <w:t>Supports discussion of planning, role coordination and process integration</w:t>
            </w:r>
          </w:p>
        </w:tc>
        <w:tc>
          <w:tcPr>
            <w:tcW w:w="2873" w:type="dxa"/>
            <w:shd w:val="clear" w:color="auto" w:fill="F5F7FA"/>
          </w:tcPr>
          <w:p w14:paraId="01AEBE80" w14:textId="77777777" w:rsidR="00251EBB" w:rsidRDefault="00251EBB" w:rsidP="005F2BC9">
            <w:pPr>
              <w:spacing w:after="0" w:line="240" w:lineRule="auto"/>
              <w:jc w:val="left"/>
            </w:pPr>
            <w:r>
              <w:rPr>
                <w:rFonts w:ascii="Arial" w:eastAsia="Arial" w:hAnsi="Arial"/>
                <w:sz w:val="15"/>
              </w:rPr>
              <w:t>A workflow model cannot establish universal practice across projects or regions</w:t>
            </w:r>
          </w:p>
        </w:tc>
      </w:tr>
      <w:tr w:rsidR="00251EBB" w14:paraId="7B7B7350" w14:textId="77777777" w:rsidTr="005F2BC9">
        <w:trPr>
          <w:cantSplit/>
          <w:jc w:val="center"/>
        </w:trPr>
        <w:tc>
          <w:tcPr>
            <w:tcW w:w="1184" w:type="dxa"/>
          </w:tcPr>
          <w:p w14:paraId="4977DE8B" w14:textId="77777777" w:rsidR="00251EBB" w:rsidRDefault="00251EBB" w:rsidP="005F2BC9">
            <w:pPr>
              <w:spacing w:after="0" w:line="240" w:lineRule="auto"/>
              <w:jc w:val="center"/>
            </w:pPr>
            <w:r>
              <w:rPr>
                <w:rFonts w:ascii="Arial" w:eastAsia="Arial" w:hAnsi="Arial"/>
                <w:sz w:val="15"/>
              </w:rPr>
              <w:t>21</w:t>
            </w:r>
          </w:p>
        </w:tc>
        <w:tc>
          <w:tcPr>
            <w:tcW w:w="1420" w:type="dxa"/>
          </w:tcPr>
          <w:p w14:paraId="16A15B75" w14:textId="77777777" w:rsidR="00251EBB" w:rsidRDefault="00251EBB" w:rsidP="005F2BC9">
            <w:pPr>
              <w:spacing w:after="0" w:line="240" w:lineRule="auto"/>
              <w:jc w:val="left"/>
            </w:pPr>
            <w:r>
              <w:rPr>
                <w:rFonts w:ascii="Arial" w:eastAsia="Arial" w:hAnsi="Arial"/>
                <w:sz w:val="15"/>
              </w:rPr>
              <w:t>Magnopus (n.d.)</w:t>
            </w:r>
          </w:p>
        </w:tc>
        <w:tc>
          <w:tcPr>
            <w:tcW w:w="1810" w:type="dxa"/>
          </w:tcPr>
          <w:p w14:paraId="473E4CA1" w14:textId="77777777" w:rsidR="00251EBB" w:rsidRDefault="00251EBB" w:rsidP="005F2BC9">
            <w:pPr>
              <w:spacing w:after="0" w:line="240" w:lineRule="auto"/>
              <w:jc w:val="left"/>
            </w:pPr>
            <w:r>
              <w:rPr>
                <w:rFonts w:ascii="Arial" w:eastAsia="Arial" w:hAnsi="Arial"/>
                <w:sz w:val="15"/>
              </w:rPr>
              <w:t>Corporate project documentation</w:t>
            </w:r>
          </w:p>
        </w:tc>
        <w:tc>
          <w:tcPr>
            <w:tcW w:w="2350" w:type="dxa"/>
          </w:tcPr>
          <w:p w14:paraId="3C0E8E03" w14:textId="77777777" w:rsidR="00251EBB" w:rsidRDefault="00251EBB" w:rsidP="005F2BC9">
            <w:pPr>
              <w:spacing w:after="0" w:line="240" w:lineRule="auto"/>
              <w:jc w:val="left"/>
            </w:pPr>
            <w:r>
              <w:rPr>
                <w:rFonts w:ascii="Arial" w:eastAsia="Arial" w:hAnsi="Arial"/>
                <w:sz w:val="15"/>
              </w:rPr>
              <w:t>The Lion King virtual scouting system</w:t>
            </w:r>
          </w:p>
        </w:tc>
        <w:tc>
          <w:tcPr>
            <w:tcW w:w="2790" w:type="dxa"/>
          </w:tcPr>
          <w:p w14:paraId="156AD48C" w14:textId="77777777" w:rsidR="00251EBB" w:rsidRDefault="00251EBB" w:rsidP="005F2BC9">
            <w:pPr>
              <w:spacing w:after="0" w:line="240" w:lineRule="auto"/>
              <w:jc w:val="left"/>
            </w:pPr>
            <w:r>
              <w:rPr>
                <w:rFonts w:ascii="Arial" w:eastAsia="Arial" w:hAnsi="Arial"/>
                <w:sz w:val="15"/>
              </w:rPr>
              <w:t>Developer description of a multiplayer VR environment and virtual cinematography tools</w:t>
            </w:r>
          </w:p>
        </w:tc>
        <w:tc>
          <w:tcPr>
            <w:tcW w:w="3050" w:type="dxa"/>
          </w:tcPr>
          <w:p w14:paraId="3E68AEF7" w14:textId="77777777" w:rsidR="00251EBB" w:rsidRDefault="00251EBB" w:rsidP="005F2BC9">
            <w:pPr>
              <w:spacing w:after="0" w:line="240" w:lineRule="auto"/>
              <w:jc w:val="left"/>
            </w:pPr>
            <w:r>
              <w:rPr>
                <w:rFonts w:ascii="Arial" w:eastAsia="Arial" w:hAnsi="Arial"/>
                <w:sz w:val="15"/>
              </w:rPr>
              <w:t>Illustrates how embodied camera practice can be translated into operations within a digital environment</w:t>
            </w:r>
          </w:p>
        </w:tc>
        <w:tc>
          <w:tcPr>
            <w:tcW w:w="2873" w:type="dxa"/>
          </w:tcPr>
          <w:p w14:paraId="510D04BC" w14:textId="77777777" w:rsidR="00251EBB" w:rsidRDefault="00251EBB" w:rsidP="005F2BC9">
            <w:pPr>
              <w:spacing w:after="0" w:line="240" w:lineRule="auto"/>
              <w:jc w:val="left"/>
            </w:pPr>
            <w:r>
              <w:rPr>
                <w:rFonts w:ascii="Arial" w:eastAsia="Arial" w:hAnsi="Arial"/>
                <w:sz w:val="15"/>
              </w:rPr>
              <w:t>Promotional actor account; foregrounds a flagship project and does not independently document labour experience</w:t>
            </w:r>
          </w:p>
        </w:tc>
      </w:tr>
      <w:tr w:rsidR="00251EBB" w14:paraId="4AFA2CFD" w14:textId="77777777" w:rsidTr="005F2BC9">
        <w:trPr>
          <w:cantSplit/>
          <w:jc w:val="center"/>
        </w:trPr>
        <w:tc>
          <w:tcPr>
            <w:tcW w:w="1184" w:type="dxa"/>
            <w:shd w:val="clear" w:color="auto" w:fill="F5F7FA"/>
          </w:tcPr>
          <w:p w14:paraId="4A03CE28" w14:textId="77777777" w:rsidR="00251EBB" w:rsidRDefault="00251EBB" w:rsidP="005F2BC9">
            <w:pPr>
              <w:spacing w:after="0" w:line="240" w:lineRule="auto"/>
              <w:jc w:val="center"/>
            </w:pPr>
            <w:r>
              <w:rPr>
                <w:rFonts w:ascii="Arial" w:eastAsia="Arial" w:hAnsi="Arial"/>
                <w:sz w:val="15"/>
              </w:rPr>
              <w:t>22</w:t>
            </w:r>
          </w:p>
        </w:tc>
        <w:tc>
          <w:tcPr>
            <w:tcW w:w="1420" w:type="dxa"/>
            <w:shd w:val="clear" w:color="auto" w:fill="F5F7FA"/>
          </w:tcPr>
          <w:p w14:paraId="0F08A562" w14:textId="77777777" w:rsidR="00251EBB" w:rsidRDefault="00251EBB" w:rsidP="005F2BC9">
            <w:pPr>
              <w:spacing w:after="0" w:line="240" w:lineRule="auto"/>
              <w:jc w:val="left"/>
            </w:pPr>
            <w:r>
              <w:rPr>
                <w:rFonts w:ascii="Arial" w:eastAsia="Arial" w:hAnsi="Arial"/>
                <w:sz w:val="15"/>
              </w:rPr>
              <w:t>Industrial Light &amp; Magic (2020)</w:t>
            </w:r>
          </w:p>
        </w:tc>
        <w:tc>
          <w:tcPr>
            <w:tcW w:w="1810" w:type="dxa"/>
            <w:shd w:val="clear" w:color="auto" w:fill="F5F7FA"/>
          </w:tcPr>
          <w:p w14:paraId="59BD53B4" w14:textId="77777777" w:rsidR="00251EBB" w:rsidRDefault="00251EBB" w:rsidP="005F2BC9">
            <w:pPr>
              <w:spacing w:after="0" w:line="240" w:lineRule="auto"/>
              <w:jc w:val="left"/>
            </w:pPr>
            <w:r>
              <w:rPr>
                <w:rFonts w:ascii="Arial" w:eastAsia="Arial" w:hAnsi="Arial"/>
                <w:sz w:val="15"/>
              </w:rPr>
              <w:t>Corporate technical account</w:t>
            </w:r>
          </w:p>
        </w:tc>
        <w:tc>
          <w:tcPr>
            <w:tcW w:w="2350" w:type="dxa"/>
            <w:shd w:val="clear" w:color="auto" w:fill="F5F7FA"/>
          </w:tcPr>
          <w:p w14:paraId="4F40F595" w14:textId="77777777" w:rsidR="00251EBB" w:rsidRDefault="00251EBB" w:rsidP="005F2BC9">
            <w:pPr>
              <w:spacing w:after="0" w:line="240" w:lineRule="auto"/>
              <w:jc w:val="left"/>
            </w:pPr>
            <w:r>
              <w:rPr>
                <w:rFonts w:ascii="Arial" w:eastAsia="Arial" w:hAnsi="Arial"/>
                <w:sz w:val="15"/>
              </w:rPr>
              <w:t>The Mandalorian LED-stage workflow</w:t>
            </w:r>
          </w:p>
        </w:tc>
        <w:tc>
          <w:tcPr>
            <w:tcW w:w="2790" w:type="dxa"/>
            <w:shd w:val="clear" w:color="auto" w:fill="F5F7FA"/>
          </w:tcPr>
          <w:p w14:paraId="0A1A4321" w14:textId="77777777" w:rsidR="00251EBB" w:rsidRDefault="00251EBB" w:rsidP="005F2BC9">
            <w:pPr>
              <w:spacing w:after="0" w:line="240" w:lineRule="auto"/>
              <w:jc w:val="left"/>
            </w:pPr>
            <w:r>
              <w:rPr>
                <w:rFonts w:ascii="Arial" w:eastAsia="Arial" w:hAnsi="Arial"/>
                <w:sz w:val="15"/>
              </w:rPr>
              <w:t>Company description of tracked cameras, perspective-correct backgrounds and LED-stage production</w:t>
            </w:r>
          </w:p>
        </w:tc>
        <w:tc>
          <w:tcPr>
            <w:tcW w:w="3050" w:type="dxa"/>
            <w:shd w:val="clear" w:color="auto" w:fill="F5F7FA"/>
          </w:tcPr>
          <w:p w14:paraId="2C8DEEFA" w14:textId="77777777" w:rsidR="00251EBB" w:rsidRDefault="00251EBB" w:rsidP="005F2BC9">
            <w:pPr>
              <w:spacing w:after="0" w:line="240" w:lineRule="auto"/>
              <w:jc w:val="left"/>
            </w:pPr>
            <w:r>
              <w:rPr>
                <w:rFonts w:ascii="Arial" w:eastAsia="Arial" w:hAnsi="Arial"/>
                <w:sz w:val="15"/>
              </w:rPr>
              <w:t>Supports the example of camera-environment reciprocity in real-time virtual production</w:t>
            </w:r>
          </w:p>
        </w:tc>
        <w:tc>
          <w:tcPr>
            <w:tcW w:w="2873" w:type="dxa"/>
            <w:shd w:val="clear" w:color="auto" w:fill="F5F7FA"/>
          </w:tcPr>
          <w:p w14:paraId="5C15CA2E" w14:textId="77777777" w:rsidR="00251EBB" w:rsidRDefault="00251EBB" w:rsidP="005F2BC9">
            <w:pPr>
              <w:spacing w:after="0" w:line="240" w:lineRule="auto"/>
              <w:jc w:val="left"/>
            </w:pPr>
            <w:r>
              <w:rPr>
                <w:rFonts w:ascii="Arial" w:eastAsia="Arial" w:hAnsi="Arial"/>
                <w:sz w:val="15"/>
              </w:rPr>
              <w:t>Corporate account of a successful implementation; limited independent verification of constraints and failures</w:t>
            </w:r>
          </w:p>
        </w:tc>
      </w:tr>
      <w:tr w:rsidR="00251EBB" w14:paraId="19787A73" w14:textId="77777777" w:rsidTr="005F2BC9">
        <w:trPr>
          <w:cantSplit/>
          <w:jc w:val="center"/>
        </w:trPr>
        <w:tc>
          <w:tcPr>
            <w:tcW w:w="1184" w:type="dxa"/>
          </w:tcPr>
          <w:p w14:paraId="7A9CBD6C" w14:textId="77777777" w:rsidR="00251EBB" w:rsidRDefault="00251EBB" w:rsidP="005F2BC9">
            <w:pPr>
              <w:spacing w:after="0" w:line="240" w:lineRule="auto"/>
              <w:jc w:val="center"/>
            </w:pPr>
            <w:r>
              <w:rPr>
                <w:rFonts w:ascii="Arial" w:eastAsia="Arial" w:hAnsi="Arial"/>
                <w:sz w:val="15"/>
              </w:rPr>
              <w:t>23</w:t>
            </w:r>
          </w:p>
        </w:tc>
        <w:tc>
          <w:tcPr>
            <w:tcW w:w="1420" w:type="dxa"/>
          </w:tcPr>
          <w:p w14:paraId="6A1BDE6E" w14:textId="77777777" w:rsidR="00251EBB" w:rsidRDefault="00251EBB" w:rsidP="005F2BC9">
            <w:pPr>
              <w:spacing w:after="0" w:line="240" w:lineRule="auto"/>
              <w:jc w:val="left"/>
            </w:pPr>
            <w:r>
              <w:rPr>
                <w:rFonts w:ascii="Arial" w:eastAsia="Arial" w:hAnsi="Arial"/>
                <w:sz w:val="15"/>
              </w:rPr>
              <w:t>Industrial Light &amp; Magic (n.d.)</w:t>
            </w:r>
          </w:p>
        </w:tc>
        <w:tc>
          <w:tcPr>
            <w:tcW w:w="1810" w:type="dxa"/>
          </w:tcPr>
          <w:p w14:paraId="4A310817" w14:textId="77777777" w:rsidR="00251EBB" w:rsidRDefault="00251EBB" w:rsidP="005F2BC9">
            <w:pPr>
              <w:spacing w:after="0" w:line="240" w:lineRule="auto"/>
              <w:jc w:val="left"/>
            </w:pPr>
            <w:r>
              <w:rPr>
                <w:rFonts w:ascii="Arial" w:eastAsia="Arial" w:hAnsi="Arial"/>
                <w:sz w:val="15"/>
              </w:rPr>
              <w:t>Corporate product documentation</w:t>
            </w:r>
          </w:p>
        </w:tc>
        <w:tc>
          <w:tcPr>
            <w:tcW w:w="2350" w:type="dxa"/>
          </w:tcPr>
          <w:p w14:paraId="561023EF" w14:textId="77777777" w:rsidR="00251EBB" w:rsidRDefault="00251EBB" w:rsidP="005F2BC9">
            <w:pPr>
              <w:spacing w:after="0" w:line="240" w:lineRule="auto"/>
              <w:jc w:val="left"/>
            </w:pPr>
            <w:r>
              <w:rPr>
                <w:rFonts w:ascii="Arial" w:eastAsia="Arial" w:hAnsi="Arial"/>
                <w:sz w:val="15"/>
              </w:rPr>
              <w:t>StageCraft platform</w:t>
            </w:r>
          </w:p>
        </w:tc>
        <w:tc>
          <w:tcPr>
            <w:tcW w:w="2790" w:type="dxa"/>
          </w:tcPr>
          <w:p w14:paraId="443F6FE6" w14:textId="77777777" w:rsidR="00251EBB" w:rsidRDefault="00251EBB" w:rsidP="005F2BC9">
            <w:pPr>
              <w:spacing w:after="0" w:line="240" w:lineRule="auto"/>
              <w:jc w:val="left"/>
            </w:pPr>
            <w:r>
              <w:rPr>
                <w:rFonts w:ascii="Arial" w:eastAsia="Arial" w:hAnsi="Arial"/>
                <w:sz w:val="15"/>
              </w:rPr>
              <w:t>Overview of StageCraft capabilities and production architecture</w:t>
            </w:r>
          </w:p>
        </w:tc>
        <w:tc>
          <w:tcPr>
            <w:tcW w:w="3050" w:type="dxa"/>
          </w:tcPr>
          <w:p w14:paraId="50B4AFDB" w14:textId="77777777" w:rsidR="00251EBB" w:rsidRDefault="00251EBB" w:rsidP="005F2BC9">
            <w:pPr>
              <w:spacing w:after="0" w:line="240" w:lineRule="auto"/>
              <w:jc w:val="left"/>
            </w:pPr>
            <w:r>
              <w:rPr>
                <w:rFonts w:ascii="Arial" w:eastAsia="Arial" w:hAnsi="Arial"/>
                <w:sz w:val="15"/>
              </w:rPr>
              <w:t>Clarifies the system's stated combination of real-time rendering, tracking and in-camera visual effects</w:t>
            </w:r>
          </w:p>
        </w:tc>
        <w:tc>
          <w:tcPr>
            <w:tcW w:w="2873" w:type="dxa"/>
          </w:tcPr>
          <w:p w14:paraId="3ECB5494" w14:textId="77777777" w:rsidR="00251EBB" w:rsidRDefault="00251EBB" w:rsidP="005F2BC9">
            <w:pPr>
              <w:spacing w:after="0" w:line="240" w:lineRule="auto"/>
              <w:jc w:val="left"/>
            </w:pPr>
            <w:r>
              <w:rPr>
                <w:rFonts w:ascii="Arial" w:eastAsia="Arial" w:hAnsi="Arial"/>
                <w:sz w:val="15"/>
              </w:rPr>
              <w:t>Product documentation does not establish adoption rates, cost savings or typical project outcomes</w:t>
            </w:r>
          </w:p>
        </w:tc>
      </w:tr>
      <w:tr w:rsidR="00251EBB" w14:paraId="2B6EC934" w14:textId="77777777" w:rsidTr="005F2BC9">
        <w:trPr>
          <w:cantSplit/>
          <w:jc w:val="center"/>
        </w:trPr>
        <w:tc>
          <w:tcPr>
            <w:tcW w:w="1184" w:type="dxa"/>
            <w:shd w:val="clear" w:color="auto" w:fill="F5F7FA"/>
          </w:tcPr>
          <w:p w14:paraId="3DFE4899" w14:textId="77777777" w:rsidR="00251EBB" w:rsidRDefault="00251EBB" w:rsidP="005F2BC9">
            <w:pPr>
              <w:spacing w:after="0" w:line="240" w:lineRule="auto"/>
              <w:jc w:val="center"/>
            </w:pPr>
            <w:r>
              <w:rPr>
                <w:rFonts w:ascii="Arial" w:eastAsia="Arial" w:hAnsi="Arial"/>
                <w:sz w:val="15"/>
              </w:rPr>
              <w:t>24</w:t>
            </w:r>
          </w:p>
        </w:tc>
        <w:tc>
          <w:tcPr>
            <w:tcW w:w="1420" w:type="dxa"/>
            <w:shd w:val="clear" w:color="auto" w:fill="F5F7FA"/>
          </w:tcPr>
          <w:p w14:paraId="5F33DF9C" w14:textId="77777777" w:rsidR="00251EBB" w:rsidRDefault="00251EBB" w:rsidP="005F2BC9">
            <w:pPr>
              <w:spacing w:after="0" w:line="240" w:lineRule="auto"/>
              <w:jc w:val="left"/>
            </w:pPr>
            <w:r>
              <w:rPr>
                <w:rFonts w:ascii="Arial" w:eastAsia="Arial" w:hAnsi="Arial"/>
                <w:sz w:val="15"/>
              </w:rPr>
              <w:t>OpenAI (2024)</w:t>
            </w:r>
          </w:p>
        </w:tc>
        <w:tc>
          <w:tcPr>
            <w:tcW w:w="1810" w:type="dxa"/>
            <w:shd w:val="clear" w:color="auto" w:fill="F5F7FA"/>
          </w:tcPr>
          <w:p w14:paraId="64164F31" w14:textId="77777777" w:rsidR="00251EBB" w:rsidRDefault="00251EBB" w:rsidP="005F2BC9">
            <w:pPr>
              <w:spacing w:after="0" w:line="240" w:lineRule="auto"/>
              <w:jc w:val="left"/>
            </w:pPr>
            <w:r>
              <w:rPr>
                <w:rFonts w:ascii="Arial" w:eastAsia="Arial" w:hAnsi="Arial"/>
                <w:sz w:val="15"/>
              </w:rPr>
              <w:t>Developer technical report</w:t>
            </w:r>
          </w:p>
        </w:tc>
        <w:tc>
          <w:tcPr>
            <w:tcW w:w="2350" w:type="dxa"/>
            <w:shd w:val="clear" w:color="auto" w:fill="F5F7FA"/>
          </w:tcPr>
          <w:p w14:paraId="46E8FDBE" w14:textId="77777777" w:rsidR="00251EBB" w:rsidRDefault="00251EBB" w:rsidP="005F2BC9">
            <w:pPr>
              <w:spacing w:after="0" w:line="240" w:lineRule="auto"/>
              <w:jc w:val="left"/>
            </w:pPr>
            <w:r>
              <w:rPr>
                <w:rFonts w:ascii="Arial" w:eastAsia="Arial" w:hAnsi="Arial"/>
                <w:sz w:val="15"/>
              </w:rPr>
              <w:t>Sora video-generation model</w:t>
            </w:r>
          </w:p>
        </w:tc>
        <w:tc>
          <w:tcPr>
            <w:tcW w:w="2790" w:type="dxa"/>
            <w:shd w:val="clear" w:color="auto" w:fill="F5F7FA"/>
          </w:tcPr>
          <w:p w14:paraId="735B2DEC" w14:textId="77777777" w:rsidR="00251EBB" w:rsidRDefault="00251EBB" w:rsidP="005F2BC9">
            <w:pPr>
              <w:spacing w:after="0" w:line="240" w:lineRule="auto"/>
              <w:jc w:val="left"/>
            </w:pPr>
            <w:r>
              <w:rPr>
                <w:rFonts w:ascii="Arial" w:eastAsia="Arial" w:hAnsi="Arial"/>
                <w:sz w:val="15"/>
              </w:rPr>
              <w:t>Developer demonstrations and reported strengths and limitations, including persistence and physical interaction</w:t>
            </w:r>
          </w:p>
        </w:tc>
        <w:tc>
          <w:tcPr>
            <w:tcW w:w="3050" w:type="dxa"/>
            <w:shd w:val="clear" w:color="auto" w:fill="F5F7FA"/>
          </w:tcPr>
          <w:p w14:paraId="0BFDB704" w14:textId="77777777" w:rsidR="00251EBB" w:rsidRDefault="00251EBB" w:rsidP="005F2BC9">
            <w:pPr>
              <w:spacing w:after="0" w:line="240" w:lineRule="auto"/>
              <w:jc w:val="left"/>
            </w:pPr>
            <w:r>
              <w:rPr>
                <w:rFonts w:ascii="Arial" w:eastAsia="Arial" w:hAnsi="Arial"/>
                <w:sz w:val="15"/>
              </w:rPr>
              <w:t>Supports the distinction between convincing spatial appearance and guaranteed persistent geometry</w:t>
            </w:r>
          </w:p>
        </w:tc>
        <w:tc>
          <w:tcPr>
            <w:tcW w:w="2873" w:type="dxa"/>
            <w:shd w:val="clear" w:color="auto" w:fill="F5F7FA"/>
          </w:tcPr>
          <w:p w14:paraId="1F62C6BB" w14:textId="77777777" w:rsidR="00251EBB" w:rsidRDefault="00251EBB" w:rsidP="005F2BC9">
            <w:pPr>
              <w:spacing w:after="0" w:line="240" w:lineRule="auto"/>
              <w:jc w:val="left"/>
            </w:pPr>
            <w:r>
              <w:rPr>
                <w:rFonts w:ascii="Arial" w:eastAsia="Arial" w:hAnsi="Arial"/>
                <w:sz w:val="15"/>
              </w:rPr>
              <w:t>Developer-authored and tied to one model generation; examples are selective and not an independent benchmark</w:t>
            </w:r>
          </w:p>
        </w:tc>
      </w:tr>
      <w:tr w:rsidR="00251EBB" w14:paraId="720C7C47" w14:textId="77777777" w:rsidTr="005F2BC9">
        <w:trPr>
          <w:cantSplit/>
          <w:jc w:val="center"/>
        </w:trPr>
        <w:tc>
          <w:tcPr>
            <w:tcW w:w="1184" w:type="dxa"/>
          </w:tcPr>
          <w:p w14:paraId="54299E7D" w14:textId="77777777" w:rsidR="00251EBB" w:rsidRDefault="00251EBB" w:rsidP="005F2BC9">
            <w:pPr>
              <w:spacing w:after="0" w:line="240" w:lineRule="auto"/>
              <w:jc w:val="center"/>
            </w:pPr>
            <w:r>
              <w:rPr>
                <w:rFonts w:ascii="Arial" w:eastAsia="Arial" w:hAnsi="Arial"/>
                <w:sz w:val="15"/>
              </w:rPr>
              <w:t>25</w:t>
            </w:r>
          </w:p>
        </w:tc>
        <w:tc>
          <w:tcPr>
            <w:tcW w:w="1420" w:type="dxa"/>
          </w:tcPr>
          <w:p w14:paraId="5BB21001" w14:textId="77777777" w:rsidR="00251EBB" w:rsidRDefault="00251EBB" w:rsidP="005F2BC9">
            <w:pPr>
              <w:spacing w:after="0" w:line="240" w:lineRule="auto"/>
              <w:jc w:val="left"/>
            </w:pPr>
            <w:r>
              <w:rPr>
                <w:rFonts w:ascii="Arial" w:eastAsia="Arial" w:hAnsi="Arial"/>
                <w:sz w:val="15"/>
              </w:rPr>
              <w:t>OpenAI (2025)</w:t>
            </w:r>
          </w:p>
        </w:tc>
        <w:tc>
          <w:tcPr>
            <w:tcW w:w="1810" w:type="dxa"/>
          </w:tcPr>
          <w:p w14:paraId="591CD419" w14:textId="77777777" w:rsidR="00251EBB" w:rsidRDefault="00251EBB" w:rsidP="005F2BC9">
            <w:pPr>
              <w:spacing w:after="0" w:line="240" w:lineRule="auto"/>
              <w:jc w:val="left"/>
            </w:pPr>
            <w:r>
              <w:rPr>
                <w:rFonts w:ascii="Arial" w:eastAsia="Arial" w:hAnsi="Arial"/>
                <w:sz w:val="15"/>
              </w:rPr>
              <w:t>Developer capability announcement</w:t>
            </w:r>
          </w:p>
        </w:tc>
        <w:tc>
          <w:tcPr>
            <w:tcW w:w="2350" w:type="dxa"/>
          </w:tcPr>
          <w:p w14:paraId="4201A5D6" w14:textId="77777777" w:rsidR="00251EBB" w:rsidRDefault="00251EBB" w:rsidP="005F2BC9">
            <w:pPr>
              <w:spacing w:after="0" w:line="240" w:lineRule="auto"/>
              <w:jc w:val="left"/>
            </w:pPr>
            <w:r>
              <w:rPr>
                <w:rFonts w:ascii="Arial" w:eastAsia="Arial" w:hAnsi="Arial"/>
                <w:sz w:val="15"/>
              </w:rPr>
              <w:t>Sora 2</w:t>
            </w:r>
          </w:p>
        </w:tc>
        <w:tc>
          <w:tcPr>
            <w:tcW w:w="2790" w:type="dxa"/>
          </w:tcPr>
          <w:p w14:paraId="5443EC04" w14:textId="77777777" w:rsidR="00251EBB" w:rsidRDefault="00251EBB" w:rsidP="005F2BC9">
            <w:pPr>
              <w:spacing w:after="0" w:line="240" w:lineRule="auto"/>
              <w:jc w:val="left"/>
            </w:pPr>
            <w:r>
              <w:rPr>
                <w:rFonts w:ascii="Arial" w:eastAsia="Arial" w:hAnsi="Arial"/>
                <w:sz w:val="15"/>
              </w:rPr>
              <w:t>Developer account of improved control and physical accuracy</w:t>
            </w:r>
          </w:p>
        </w:tc>
        <w:tc>
          <w:tcPr>
            <w:tcW w:w="3050" w:type="dxa"/>
          </w:tcPr>
          <w:p w14:paraId="4CC23729" w14:textId="77777777" w:rsidR="00251EBB" w:rsidRDefault="00251EBB" w:rsidP="005F2BC9">
            <w:pPr>
              <w:spacing w:after="0" w:line="240" w:lineRule="auto"/>
              <w:jc w:val="left"/>
            </w:pPr>
            <w:r>
              <w:rPr>
                <w:rFonts w:ascii="Arial" w:eastAsia="Arial" w:hAnsi="Arial"/>
                <w:sz w:val="15"/>
              </w:rPr>
              <w:t>Supports the qualification that model capabilities change and that failure examples should not be treated as permanent</w:t>
            </w:r>
          </w:p>
        </w:tc>
        <w:tc>
          <w:tcPr>
            <w:tcW w:w="2873" w:type="dxa"/>
          </w:tcPr>
          <w:p w14:paraId="51CAF457" w14:textId="77777777" w:rsidR="00251EBB" w:rsidRDefault="00251EBB" w:rsidP="005F2BC9">
            <w:pPr>
              <w:spacing w:after="0" w:line="240" w:lineRule="auto"/>
              <w:jc w:val="left"/>
            </w:pPr>
            <w:r>
              <w:rPr>
                <w:rFonts w:ascii="Arial" w:eastAsia="Arial" w:hAnsi="Arial"/>
                <w:sz w:val="15"/>
              </w:rPr>
              <w:t>Promotional technical communication; independent validation and reproducible evaluation remain limited</w:t>
            </w:r>
          </w:p>
        </w:tc>
      </w:tr>
      <w:tr w:rsidR="00251EBB" w14:paraId="6BD92365" w14:textId="77777777" w:rsidTr="005F2BC9">
        <w:trPr>
          <w:cantSplit/>
          <w:jc w:val="center"/>
        </w:trPr>
        <w:tc>
          <w:tcPr>
            <w:tcW w:w="1184" w:type="dxa"/>
            <w:shd w:val="clear" w:color="auto" w:fill="F5F7FA"/>
          </w:tcPr>
          <w:p w14:paraId="6408A55B" w14:textId="77777777" w:rsidR="00251EBB" w:rsidRDefault="00251EBB" w:rsidP="005F2BC9">
            <w:pPr>
              <w:spacing w:after="0" w:line="240" w:lineRule="auto"/>
              <w:jc w:val="center"/>
            </w:pPr>
            <w:r>
              <w:rPr>
                <w:rFonts w:ascii="Arial" w:eastAsia="Arial" w:hAnsi="Arial"/>
                <w:sz w:val="15"/>
              </w:rPr>
              <w:t>26</w:t>
            </w:r>
          </w:p>
        </w:tc>
        <w:tc>
          <w:tcPr>
            <w:tcW w:w="1420" w:type="dxa"/>
            <w:shd w:val="clear" w:color="auto" w:fill="F5F7FA"/>
          </w:tcPr>
          <w:p w14:paraId="3ABC6DC0" w14:textId="77777777" w:rsidR="00251EBB" w:rsidRDefault="00251EBB" w:rsidP="005F2BC9">
            <w:pPr>
              <w:spacing w:after="0" w:line="240" w:lineRule="auto"/>
              <w:jc w:val="left"/>
            </w:pPr>
            <w:r>
              <w:rPr>
                <w:rFonts w:ascii="Arial" w:eastAsia="Arial" w:hAnsi="Arial"/>
                <w:sz w:val="15"/>
              </w:rPr>
              <w:t>Cyberspace Administration of China et al. (2025)</w:t>
            </w:r>
          </w:p>
        </w:tc>
        <w:tc>
          <w:tcPr>
            <w:tcW w:w="1810" w:type="dxa"/>
            <w:shd w:val="clear" w:color="auto" w:fill="F5F7FA"/>
          </w:tcPr>
          <w:p w14:paraId="69CB227C" w14:textId="77777777" w:rsidR="00251EBB" w:rsidRDefault="00251EBB" w:rsidP="005F2BC9">
            <w:pPr>
              <w:spacing w:after="0" w:line="240" w:lineRule="auto"/>
              <w:jc w:val="left"/>
            </w:pPr>
            <w:r>
              <w:rPr>
                <w:rFonts w:ascii="Arial" w:eastAsia="Arial" w:hAnsi="Arial"/>
                <w:sz w:val="15"/>
              </w:rPr>
              <w:t>Regulatory document</w:t>
            </w:r>
          </w:p>
        </w:tc>
        <w:tc>
          <w:tcPr>
            <w:tcW w:w="2350" w:type="dxa"/>
            <w:shd w:val="clear" w:color="auto" w:fill="F5F7FA"/>
          </w:tcPr>
          <w:p w14:paraId="30F6D0AE" w14:textId="77777777" w:rsidR="00251EBB" w:rsidRDefault="00251EBB" w:rsidP="005F2BC9">
            <w:pPr>
              <w:spacing w:after="0" w:line="240" w:lineRule="auto"/>
              <w:jc w:val="left"/>
            </w:pPr>
            <w:r>
              <w:rPr>
                <w:rFonts w:ascii="Arial" w:eastAsia="Arial" w:hAnsi="Arial"/>
                <w:sz w:val="15"/>
              </w:rPr>
              <w:t>Labelling of AI-generated and synthesised content</w:t>
            </w:r>
          </w:p>
        </w:tc>
        <w:tc>
          <w:tcPr>
            <w:tcW w:w="2790" w:type="dxa"/>
            <w:shd w:val="clear" w:color="auto" w:fill="F5F7FA"/>
          </w:tcPr>
          <w:p w14:paraId="07B070B1" w14:textId="77777777" w:rsidR="00251EBB" w:rsidRDefault="00251EBB" w:rsidP="005F2BC9">
            <w:pPr>
              <w:spacing w:after="0" w:line="240" w:lineRule="auto"/>
              <w:jc w:val="left"/>
            </w:pPr>
            <w:r>
              <w:rPr>
                <w:rFonts w:ascii="Arial" w:eastAsia="Arial" w:hAnsi="Arial"/>
                <w:sz w:val="15"/>
              </w:rPr>
              <w:t>Official requirements for visible and metadata-based identification of generated media</w:t>
            </w:r>
          </w:p>
        </w:tc>
        <w:tc>
          <w:tcPr>
            <w:tcW w:w="3050" w:type="dxa"/>
            <w:shd w:val="clear" w:color="auto" w:fill="F5F7FA"/>
          </w:tcPr>
          <w:p w14:paraId="16DFE2BC" w14:textId="77777777" w:rsidR="00251EBB" w:rsidRDefault="00251EBB" w:rsidP="005F2BC9">
            <w:pPr>
              <w:spacing w:after="0" w:line="240" w:lineRule="auto"/>
              <w:jc w:val="left"/>
            </w:pPr>
            <w:r>
              <w:rPr>
                <w:rFonts w:ascii="Arial" w:eastAsia="Arial" w:hAnsi="Arial"/>
                <w:sz w:val="15"/>
              </w:rPr>
              <w:t>Supports the claim that provenance and labelling can become operational conditions of circulation</w:t>
            </w:r>
          </w:p>
        </w:tc>
        <w:tc>
          <w:tcPr>
            <w:tcW w:w="2873" w:type="dxa"/>
            <w:shd w:val="clear" w:color="auto" w:fill="F5F7FA"/>
          </w:tcPr>
          <w:p w14:paraId="260A1520" w14:textId="77777777" w:rsidR="00251EBB" w:rsidRDefault="00251EBB" w:rsidP="005F2BC9">
            <w:pPr>
              <w:spacing w:after="0" w:line="240" w:lineRule="auto"/>
              <w:jc w:val="left"/>
            </w:pPr>
            <w:r>
              <w:rPr>
                <w:rFonts w:ascii="Arial" w:eastAsia="Arial" w:hAnsi="Arial"/>
                <w:sz w:val="15"/>
              </w:rPr>
              <w:t>Jurisdiction-specific; cannot be generalised as a universal regulatory model</w:t>
            </w:r>
          </w:p>
        </w:tc>
      </w:tr>
      <w:tr w:rsidR="00251EBB" w14:paraId="69D8E430" w14:textId="77777777" w:rsidTr="005F2BC9">
        <w:trPr>
          <w:cantSplit/>
          <w:jc w:val="center"/>
        </w:trPr>
        <w:tc>
          <w:tcPr>
            <w:tcW w:w="1184" w:type="dxa"/>
          </w:tcPr>
          <w:p w14:paraId="042FD16E" w14:textId="77777777" w:rsidR="00251EBB" w:rsidRDefault="00251EBB" w:rsidP="005F2BC9">
            <w:pPr>
              <w:spacing w:after="0" w:line="240" w:lineRule="auto"/>
              <w:jc w:val="center"/>
            </w:pPr>
            <w:r>
              <w:rPr>
                <w:rFonts w:ascii="Arial" w:eastAsia="Arial" w:hAnsi="Arial"/>
                <w:sz w:val="15"/>
              </w:rPr>
              <w:t>27</w:t>
            </w:r>
          </w:p>
        </w:tc>
        <w:tc>
          <w:tcPr>
            <w:tcW w:w="1420" w:type="dxa"/>
          </w:tcPr>
          <w:p w14:paraId="398226A1" w14:textId="77777777" w:rsidR="00251EBB" w:rsidRDefault="00251EBB" w:rsidP="005F2BC9">
            <w:pPr>
              <w:spacing w:after="0" w:line="240" w:lineRule="auto"/>
              <w:jc w:val="left"/>
            </w:pPr>
            <w:r>
              <w:rPr>
                <w:rFonts w:ascii="Arial" w:eastAsia="Arial" w:hAnsi="Arial"/>
                <w:sz w:val="15"/>
              </w:rPr>
              <w:t>National Film Administration of China (2026)</w:t>
            </w:r>
          </w:p>
        </w:tc>
        <w:tc>
          <w:tcPr>
            <w:tcW w:w="1810" w:type="dxa"/>
          </w:tcPr>
          <w:p w14:paraId="5110B4C5" w14:textId="77777777" w:rsidR="00251EBB" w:rsidRDefault="00251EBB" w:rsidP="005F2BC9">
            <w:pPr>
              <w:spacing w:after="0" w:line="240" w:lineRule="auto"/>
              <w:jc w:val="left"/>
            </w:pPr>
            <w:r>
              <w:rPr>
                <w:rFonts w:ascii="Arial" w:eastAsia="Arial" w:hAnsi="Arial"/>
                <w:sz w:val="15"/>
              </w:rPr>
              <w:t>Technical standard</w:t>
            </w:r>
          </w:p>
        </w:tc>
        <w:tc>
          <w:tcPr>
            <w:tcW w:w="2350" w:type="dxa"/>
          </w:tcPr>
          <w:p w14:paraId="08F3D1F2" w14:textId="77777777" w:rsidR="00251EBB" w:rsidRDefault="00251EBB" w:rsidP="005F2BC9">
            <w:pPr>
              <w:spacing w:after="0" w:line="240" w:lineRule="auto"/>
              <w:jc w:val="left"/>
            </w:pPr>
            <w:r>
              <w:rPr>
                <w:rFonts w:ascii="Arial" w:eastAsia="Arial" w:hAnsi="Arial"/>
                <w:sz w:val="15"/>
              </w:rPr>
              <w:t>General technical requirements for virtual-reality film</w:t>
            </w:r>
          </w:p>
        </w:tc>
        <w:tc>
          <w:tcPr>
            <w:tcW w:w="2790" w:type="dxa"/>
          </w:tcPr>
          <w:p w14:paraId="0CC9E55E" w14:textId="77777777" w:rsidR="00251EBB" w:rsidRDefault="00251EBB" w:rsidP="005F2BC9">
            <w:pPr>
              <w:spacing w:after="0" w:line="240" w:lineRule="auto"/>
              <w:jc w:val="left"/>
            </w:pPr>
            <w:r>
              <w:rPr>
                <w:rFonts w:ascii="Arial" w:eastAsia="Arial" w:hAnsi="Arial"/>
                <w:sz w:val="15"/>
              </w:rPr>
              <w:t>Official requirements linking production, distribution, exhibition management and content security</w:t>
            </w:r>
          </w:p>
        </w:tc>
        <w:tc>
          <w:tcPr>
            <w:tcW w:w="3050" w:type="dxa"/>
          </w:tcPr>
          <w:p w14:paraId="38710052" w14:textId="77777777" w:rsidR="00251EBB" w:rsidRDefault="00251EBB" w:rsidP="005F2BC9">
            <w:pPr>
              <w:spacing w:after="0" w:line="240" w:lineRule="auto"/>
              <w:jc w:val="left"/>
            </w:pPr>
            <w:r>
              <w:rPr>
                <w:rFonts w:ascii="Arial" w:eastAsia="Arial" w:hAnsi="Arial"/>
                <w:sz w:val="15"/>
              </w:rPr>
              <w:t>Supports discussion of delivery, metadata and content security as parts of a visual object's public existence</w:t>
            </w:r>
          </w:p>
        </w:tc>
        <w:tc>
          <w:tcPr>
            <w:tcW w:w="2873" w:type="dxa"/>
          </w:tcPr>
          <w:p w14:paraId="622613F7" w14:textId="77777777" w:rsidR="00251EBB" w:rsidRDefault="00251EBB" w:rsidP="005F2BC9">
            <w:pPr>
              <w:spacing w:after="0" w:line="240" w:lineRule="auto"/>
              <w:jc w:val="left"/>
            </w:pPr>
            <w:r>
              <w:rPr>
                <w:rFonts w:ascii="Arial" w:eastAsia="Arial" w:hAnsi="Arial"/>
                <w:sz w:val="15"/>
              </w:rPr>
              <w:t>A national technical requirement does not demonstrate how all productions implement the standard in practice</w:t>
            </w:r>
          </w:p>
        </w:tc>
      </w:tr>
      <w:tr w:rsidR="00251EBB" w14:paraId="131E6315" w14:textId="77777777" w:rsidTr="005F2BC9">
        <w:trPr>
          <w:cantSplit/>
          <w:jc w:val="center"/>
        </w:trPr>
        <w:tc>
          <w:tcPr>
            <w:tcW w:w="1184" w:type="dxa"/>
            <w:shd w:val="clear" w:color="auto" w:fill="F5F7FA"/>
          </w:tcPr>
          <w:p w14:paraId="40B6F023" w14:textId="77777777" w:rsidR="00251EBB" w:rsidRDefault="00251EBB" w:rsidP="005F2BC9">
            <w:pPr>
              <w:spacing w:after="0" w:line="240" w:lineRule="auto"/>
              <w:jc w:val="center"/>
            </w:pPr>
            <w:r>
              <w:rPr>
                <w:rFonts w:ascii="Arial" w:eastAsia="Arial" w:hAnsi="Arial"/>
                <w:sz w:val="15"/>
              </w:rPr>
              <w:t>28</w:t>
            </w:r>
          </w:p>
        </w:tc>
        <w:tc>
          <w:tcPr>
            <w:tcW w:w="1420" w:type="dxa"/>
            <w:shd w:val="clear" w:color="auto" w:fill="F5F7FA"/>
          </w:tcPr>
          <w:p w14:paraId="45273B5E" w14:textId="77777777" w:rsidR="00251EBB" w:rsidRDefault="00251EBB" w:rsidP="005F2BC9">
            <w:pPr>
              <w:spacing w:after="0" w:line="240" w:lineRule="auto"/>
              <w:jc w:val="left"/>
            </w:pPr>
            <w:r>
              <w:rPr>
                <w:rFonts w:ascii="Arial" w:eastAsia="Arial" w:hAnsi="Arial"/>
                <w:sz w:val="15"/>
              </w:rPr>
              <w:t>Virtual-Reality Film Production Industry AI Applications and Implementation Paths, 2026-2030</w:t>
            </w:r>
          </w:p>
        </w:tc>
        <w:tc>
          <w:tcPr>
            <w:tcW w:w="1810" w:type="dxa"/>
            <w:shd w:val="clear" w:color="auto" w:fill="F5F7FA"/>
          </w:tcPr>
          <w:p w14:paraId="0D1D5806" w14:textId="77777777" w:rsidR="00251EBB" w:rsidRDefault="00251EBB" w:rsidP="005F2BC9">
            <w:pPr>
              <w:spacing w:after="0" w:line="240" w:lineRule="auto"/>
              <w:jc w:val="left"/>
            </w:pPr>
            <w:r>
              <w:rPr>
                <w:rFonts w:ascii="Arial" w:eastAsia="Arial" w:hAnsi="Arial"/>
                <w:sz w:val="15"/>
              </w:rPr>
              <w:t>Commercial industry report</w:t>
            </w:r>
          </w:p>
        </w:tc>
        <w:tc>
          <w:tcPr>
            <w:tcW w:w="2350" w:type="dxa"/>
            <w:shd w:val="clear" w:color="auto" w:fill="F5F7FA"/>
          </w:tcPr>
          <w:p w14:paraId="39C68D9C" w14:textId="77777777" w:rsidR="00251EBB" w:rsidRDefault="00251EBB" w:rsidP="005F2BC9">
            <w:pPr>
              <w:spacing w:after="0" w:line="240" w:lineRule="auto"/>
              <w:jc w:val="left"/>
            </w:pPr>
            <w:r>
              <w:rPr>
                <w:rFonts w:ascii="Arial" w:eastAsia="Arial" w:hAnsi="Arial"/>
                <w:sz w:val="15"/>
              </w:rPr>
              <w:t>Chinese AI-enabled virtual-production sector</w:t>
            </w:r>
          </w:p>
        </w:tc>
        <w:tc>
          <w:tcPr>
            <w:tcW w:w="2790" w:type="dxa"/>
            <w:shd w:val="clear" w:color="auto" w:fill="F5F7FA"/>
          </w:tcPr>
          <w:p w14:paraId="113372B1" w14:textId="77777777" w:rsidR="00251EBB" w:rsidRDefault="00251EBB" w:rsidP="005F2BC9">
            <w:pPr>
              <w:spacing w:after="0" w:line="240" w:lineRule="auto"/>
              <w:jc w:val="left"/>
            </w:pPr>
            <w:r>
              <w:rPr>
                <w:rFonts w:ascii="Arial" w:eastAsia="Arial" w:hAnsi="Arial"/>
                <w:sz w:val="15"/>
              </w:rPr>
              <w:t>Compiled market claims, workflow categories, forecasts, policy summaries and sector comparisons</w:t>
            </w:r>
          </w:p>
        </w:tc>
        <w:tc>
          <w:tcPr>
            <w:tcW w:w="3050" w:type="dxa"/>
            <w:shd w:val="clear" w:color="auto" w:fill="F5F7FA"/>
          </w:tcPr>
          <w:p w14:paraId="7DC39BAE" w14:textId="77777777" w:rsidR="00251EBB" w:rsidRDefault="00251EBB" w:rsidP="005F2BC9">
            <w:pPr>
              <w:spacing w:after="0" w:line="240" w:lineRule="auto"/>
              <w:jc w:val="left"/>
            </w:pPr>
            <w:r>
              <w:rPr>
                <w:rFonts w:ascii="Arial" w:eastAsia="Arial" w:hAnsi="Arial"/>
                <w:sz w:val="15"/>
              </w:rPr>
              <w:t>Used only to identify industry vocabulary, claimed applications and issues requiring independent verification</w:t>
            </w:r>
          </w:p>
        </w:tc>
        <w:tc>
          <w:tcPr>
            <w:tcW w:w="2873" w:type="dxa"/>
            <w:shd w:val="clear" w:color="auto" w:fill="F5F7FA"/>
          </w:tcPr>
          <w:p w14:paraId="543868EE" w14:textId="77777777" w:rsidR="00251EBB" w:rsidRDefault="00251EBB" w:rsidP="005F2BC9">
            <w:pPr>
              <w:spacing w:after="0" w:line="240" w:lineRule="auto"/>
              <w:jc w:val="left"/>
            </w:pPr>
            <w:r>
              <w:rPr>
                <w:rFonts w:ascii="Arial" w:eastAsia="Arial" w:hAnsi="Arial"/>
                <w:sz w:val="15"/>
              </w:rPr>
              <w:t>Sampling, source attribution and forecasting assumptions are not sufficiently transparent for its numerical estimates to be treated as verified empirical findings</w:t>
            </w:r>
          </w:p>
        </w:tc>
      </w:tr>
    </w:tbl>
    <w:p w14:paraId="0FCBD055" w14:textId="77777777" w:rsidR="00251EBB" w:rsidRDefault="00251EBB" w:rsidP="00251EBB"/>
    <w:p w14:paraId="19040D18" w14:textId="77777777" w:rsidR="00251EBB" w:rsidRDefault="00251EBB" w:rsidP="00251EBB">
      <w:pPr>
        <w:pStyle w:val="Supplementarynote"/>
      </w:pPr>
      <w:r>
        <w:rPr>
          <w:b/>
        </w:rPr>
        <w:t xml:space="preserve">Note. </w:t>
      </w:r>
      <w:r>
        <w:t>The commercial industry report listed in Row 28 is not used as verified quantitative evidence. Its market-size, cost-reduction, penetration-rate and forecasting figures require independent source verification before substantive use.</w:t>
      </w:r>
    </w:p>
    <w:p w14:paraId="2DB13364" w14:textId="77777777" w:rsidR="009542D6" w:rsidRDefault="009542D6"/>
    <w:sectPr w:rsidR="009542D6" w:rsidSect="00251EBB">
      <w:headerReference w:type="default" r:id="rId4"/>
      <w:footerReference w:type="default" r:id="rId5"/>
      <w:pgSz w:w="16838" w:h="11906" w:orient="landscape"/>
      <w:pgMar w:top="737" w:right="680" w:bottom="737" w:left="680" w:header="34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97D9" w14:textId="77777777" w:rsidR="00251EBB" w:rsidRDefault="00251EBB">
    <w:pPr>
      <w:pStyle w:val="Footer"/>
      <w:jc w:val="center"/>
    </w:pPr>
    <w:r>
      <w:fldChar w:fldCharType="begin"/>
    </w:r>
    <w:r>
      <w:instrText xml:space="preserve"> PAGE </w:instrText>
    </w:r>
    <w:r>
      <w:fldChar w:fldCharType="separate"/>
    </w:r>
    <w:r>
      <w:rPr>
        <w:noProof/>
      </w:rPr>
      <w:t>16</w:t>
    </w:r>
    <w: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71EBF" w14:textId="77777777" w:rsidR="00251EBB" w:rsidRDefault="00251EBB">
    <w:pPr>
      <w:pStyle w:val="Header"/>
      <w:jc w:val="right"/>
    </w:pPr>
    <w:r>
      <w:rPr>
        <w:i/>
        <w:sz w:val="16"/>
      </w:rPr>
      <w:t>Supplementary Information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EBB"/>
    <w:rsid w:val="00251EBB"/>
    <w:rsid w:val="00264C10"/>
    <w:rsid w:val="00470242"/>
    <w:rsid w:val="00726E03"/>
    <w:rsid w:val="00790A9B"/>
    <w:rsid w:val="00934BC8"/>
    <w:rsid w:val="009542D6"/>
    <w:rsid w:val="00C8679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EB6C9"/>
  <w15:chartTrackingRefBased/>
  <w15:docId w15:val="{A590E3BB-A963-4EAA-9F68-C840658EF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EBB"/>
    <w:pPr>
      <w:spacing w:after="100" w:line="283" w:lineRule="auto"/>
      <w:jc w:val="both"/>
    </w:pPr>
    <w:rPr>
      <w:rFonts w:ascii="Times New Roman" w:eastAsia="Times New Roman" w:hAnsi="Times New Roman"/>
      <w:kern w:val="0"/>
      <w:sz w:val="22"/>
      <w:szCs w:val="22"/>
      <w:lang w:eastAsia="en-US"/>
      <w14:ligatures w14:val="none"/>
    </w:rPr>
  </w:style>
  <w:style w:type="paragraph" w:styleId="Heading1">
    <w:name w:val="heading 1"/>
    <w:basedOn w:val="Normal"/>
    <w:next w:val="Normal"/>
    <w:link w:val="Heading1Char"/>
    <w:uiPriority w:val="9"/>
    <w:qFormat/>
    <w:rsid w:val="00251EBB"/>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eastAsia="zh-CN"/>
      <w14:ligatures w14:val="standardContextual"/>
    </w:rPr>
  </w:style>
  <w:style w:type="paragraph" w:styleId="Heading2">
    <w:name w:val="heading 2"/>
    <w:basedOn w:val="Normal"/>
    <w:next w:val="Normal"/>
    <w:link w:val="Heading2Char"/>
    <w:uiPriority w:val="9"/>
    <w:semiHidden/>
    <w:unhideWhenUsed/>
    <w:qFormat/>
    <w:rsid w:val="00251EBB"/>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eastAsia="zh-CN"/>
      <w14:ligatures w14:val="standardContextual"/>
    </w:rPr>
  </w:style>
  <w:style w:type="paragraph" w:styleId="Heading3">
    <w:name w:val="heading 3"/>
    <w:basedOn w:val="Normal"/>
    <w:next w:val="Normal"/>
    <w:link w:val="Heading3Char"/>
    <w:uiPriority w:val="9"/>
    <w:semiHidden/>
    <w:unhideWhenUsed/>
    <w:qFormat/>
    <w:rsid w:val="00251EBB"/>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eastAsia="zh-CN"/>
      <w14:ligatures w14:val="standardContextual"/>
    </w:rPr>
  </w:style>
  <w:style w:type="paragraph" w:styleId="Heading4">
    <w:name w:val="heading 4"/>
    <w:basedOn w:val="Normal"/>
    <w:next w:val="Normal"/>
    <w:link w:val="Heading4Char"/>
    <w:uiPriority w:val="9"/>
    <w:semiHidden/>
    <w:unhideWhenUsed/>
    <w:qFormat/>
    <w:rsid w:val="00251EBB"/>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 w:val="24"/>
      <w:szCs w:val="24"/>
      <w:lang w:eastAsia="zh-CN"/>
      <w14:ligatures w14:val="standardContextual"/>
    </w:rPr>
  </w:style>
  <w:style w:type="paragraph" w:styleId="Heading5">
    <w:name w:val="heading 5"/>
    <w:basedOn w:val="Normal"/>
    <w:next w:val="Normal"/>
    <w:link w:val="Heading5Char"/>
    <w:uiPriority w:val="9"/>
    <w:semiHidden/>
    <w:unhideWhenUsed/>
    <w:qFormat/>
    <w:rsid w:val="00251EBB"/>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 w:val="24"/>
      <w:szCs w:val="24"/>
      <w:lang w:eastAsia="zh-CN"/>
      <w14:ligatures w14:val="standardContextual"/>
    </w:rPr>
  </w:style>
  <w:style w:type="paragraph" w:styleId="Heading6">
    <w:name w:val="heading 6"/>
    <w:basedOn w:val="Normal"/>
    <w:next w:val="Normal"/>
    <w:link w:val="Heading6Char"/>
    <w:uiPriority w:val="9"/>
    <w:semiHidden/>
    <w:unhideWhenUsed/>
    <w:qFormat/>
    <w:rsid w:val="00251EBB"/>
    <w:pPr>
      <w:keepNext/>
      <w:keepLines/>
      <w:spacing w:before="40" w:after="0" w:line="278" w:lineRule="auto"/>
      <w:jc w:val="left"/>
      <w:outlineLvl w:val="5"/>
    </w:pPr>
    <w:rPr>
      <w:rFonts w:asciiTheme="minorHAnsi" w:eastAsiaTheme="majorEastAsia" w:hAnsiTheme="minorHAnsi" w:cstheme="majorBidi"/>
      <w:i/>
      <w:iCs/>
      <w:color w:val="595959" w:themeColor="text1" w:themeTint="A6"/>
      <w:kern w:val="2"/>
      <w:sz w:val="24"/>
      <w:szCs w:val="24"/>
      <w:lang w:eastAsia="zh-CN"/>
      <w14:ligatures w14:val="standardContextual"/>
    </w:rPr>
  </w:style>
  <w:style w:type="paragraph" w:styleId="Heading7">
    <w:name w:val="heading 7"/>
    <w:basedOn w:val="Normal"/>
    <w:next w:val="Normal"/>
    <w:link w:val="Heading7Char"/>
    <w:uiPriority w:val="9"/>
    <w:semiHidden/>
    <w:unhideWhenUsed/>
    <w:qFormat/>
    <w:rsid w:val="00251EBB"/>
    <w:pPr>
      <w:keepNext/>
      <w:keepLines/>
      <w:spacing w:before="40" w:after="0" w:line="278" w:lineRule="auto"/>
      <w:jc w:val="left"/>
      <w:outlineLvl w:val="6"/>
    </w:pPr>
    <w:rPr>
      <w:rFonts w:asciiTheme="minorHAnsi" w:eastAsiaTheme="majorEastAsia" w:hAnsiTheme="minorHAnsi" w:cstheme="majorBidi"/>
      <w:color w:val="595959" w:themeColor="text1" w:themeTint="A6"/>
      <w:kern w:val="2"/>
      <w:sz w:val="24"/>
      <w:szCs w:val="24"/>
      <w:lang w:eastAsia="zh-CN"/>
      <w14:ligatures w14:val="standardContextual"/>
    </w:rPr>
  </w:style>
  <w:style w:type="paragraph" w:styleId="Heading8">
    <w:name w:val="heading 8"/>
    <w:basedOn w:val="Normal"/>
    <w:next w:val="Normal"/>
    <w:link w:val="Heading8Char"/>
    <w:uiPriority w:val="9"/>
    <w:semiHidden/>
    <w:unhideWhenUsed/>
    <w:qFormat/>
    <w:rsid w:val="00251EBB"/>
    <w:pPr>
      <w:keepNext/>
      <w:keepLines/>
      <w:spacing w:after="0" w:line="278" w:lineRule="auto"/>
      <w:jc w:val="left"/>
      <w:outlineLvl w:val="7"/>
    </w:pPr>
    <w:rPr>
      <w:rFonts w:asciiTheme="minorHAnsi" w:eastAsiaTheme="majorEastAsia" w:hAnsiTheme="minorHAnsi" w:cstheme="majorBidi"/>
      <w:i/>
      <w:iCs/>
      <w:color w:val="272727" w:themeColor="text1" w:themeTint="D8"/>
      <w:kern w:val="2"/>
      <w:sz w:val="24"/>
      <w:szCs w:val="24"/>
      <w:lang w:eastAsia="zh-CN"/>
      <w14:ligatures w14:val="standardContextual"/>
    </w:rPr>
  </w:style>
  <w:style w:type="paragraph" w:styleId="Heading9">
    <w:name w:val="heading 9"/>
    <w:basedOn w:val="Normal"/>
    <w:next w:val="Normal"/>
    <w:link w:val="Heading9Char"/>
    <w:uiPriority w:val="9"/>
    <w:semiHidden/>
    <w:unhideWhenUsed/>
    <w:qFormat/>
    <w:rsid w:val="00251EBB"/>
    <w:pPr>
      <w:keepNext/>
      <w:keepLines/>
      <w:spacing w:after="0" w:line="278" w:lineRule="auto"/>
      <w:jc w:val="left"/>
      <w:outlineLvl w:val="8"/>
    </w:pPr>
    <w:rPr>
      <w:rFonts w:asciiTheme="minorHAnsi" w:eastAsiaTheme="majorEastAsia" w:hAnsiTheme="minorHAnsi" w:cstheme="majorBidi"/>
      <w:color w:val="272727" w:themeColor="text1" w:themeTint="D8"/>
      <w:kern w:val="2"/>
      <w:sz w:val="24"/>
      <w:szCs w:val="24"/>
      <w:lan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1E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1E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1E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1E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1E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1E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1E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1E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1EBB"/>
    <w:rPr>
      <w:rFonts w:eastAsiaTheme="majorEastAsia" w:cstheme="majorBidi"/>
      <w:color w:val="272727" w:themeColor="text1" w:themeTint="D8"/>
    </w:rPr>
  </w:style>
  <w:style w:type="paragraph" w:styleId="Title">
    <w:name w:val="Title"/>
    <w:basedOn w:val="Normal"/>
    <w:next w:val="Normal"/>
    <w:link w:val="TitleChar"/>
    <w:uiPriority w:val="10"/>
    <w:qFormat/>
    <w:rsid w:val="00251EBB"/>
    <w:pPr>
      <w:spacing w:after="80" w:line="240" w:lineRule="auto"/>
      <w:contextualSpacing/>
      <w:jc w:val="left"/>
    </w:pPr>
    <w:rPr>
      <w:rFonts w:asciiTheme="majorHAnsi" w:eastAsiaTheme="majorEastAsia" w:hAnsiTheme="majorHAnsi" w:cstheme="majorBidi"/>
      <w:spacing w:val="-10"/>
      <w:kern w:val="28"/>
      <w:sz w:val="56"/>
      <w:szCs w:val="56"/>
      <w:lang w:eastAsia="zh-CN"/>
      <w14:ligatures w14:val="standardContextual"/>
    </w:rPr>
  </w:style>
  <w:style w:type="character" w:customStyle="1" w:styleId="TitleChar">
    <w:name w:val="Title Char"/>
    <w:basedOn w:val="DefaultParagraphFont"/>
    <w:link w:val="Title"/>
    <w:uiPriority w:val="10"/>
    <w:rsid w:val="00251E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1EBB"/>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eastAsia="zh-CN"/>
      <w14:ligatures w14:val="standardContextual"/>
    </w:rPr>
  </w:style>
  <w:style w:type="character" w:customStyle="1" w:styleId="SubtitleChar">
    <w:name w:val="Subtitle Char"/>
    <w:basedOn w:val="DefaultParagraphFont"/>
    <w:link w:val="Subtitle"/>
    <w:uiPriority w:val="11"/>
    <w:rsid w:val="00251E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1EBB"/>
    <w:pPr>
      <w:spacing w:before="160" w:after="160" w:line="278" w:lineRule="auto"/>
      <w:jc w:val="center"/>
    </w:pPr>
    <w:rPr>
      <w:rFonts w:asciiTheme="minorHAnsi" w:eastAsiaTheme="minorEastAsia" w:hAnsiTheme="minorHAnsi"/>
      <w:i/>
      <w:iCs/>
      <w:color w:val="404040" w:themeColor="text1" w:themeTint="BF"/>
      <w:kern w:val="2"/>
      <w:sz w:val="24"/>
      <w:szCs w:val="24"/>
      <w:lang w:eastAsia="zh-CN"/>
      <w14:ligatures w14:val="standardContextual"/>
    </w:rPr>
  </w:style>
  <w:style w:type="character" w:customStyle="1" w:styleId="QuoteChar">
    <w:name w:val="Quote Char"/>
    <w:basedOn w:val="DefaultParagraphFont"/>
    <w:link w:val="Quote"/>
    <w:uiPriority w:val="29"/>
    <w:rsid w:val="00251EBB"/>
    <w:rPr>
      <w:i/>
      <w:iCs/>
      <w:color w:val="404040" w:themeColor="text1" w:themeTint="BF"/>
    </w:rPr>
  </w:style>
  <w:style w:type="paragraph" w:styleId="ListParagraph">
    <w:name w:val="List Paragraph"/>
    <w:basedOn w:val="Normal"/>
    <w:uiPriority w:val="34"/>
    <w:qFormat/>
    <w:rsid w:val="00251EBB"/>
    <w:pPr>
      <w:spacing w:after="160" w:line="278" w:lineRule="auto"/>
      <w:ind w:left="720"/>
      <w:contextualSpacing/>
      <w:jc w:val="left"/>
    </w:pPr>
    <w:rPr>
      <w:rFonts w:asciiTheme="minorHAnsi" w:eastAsiaTheme="minorEastAsia" w:hAnsiTheme="minorHAnsi"/>
      <w:kern w:val="2"/>
      <w:sz w:val="24"/>
      <w:szCs w:val="24"/>
      <w:lang w:eastAsia="zh-CN"/>
      <w14:ligatures w14:val="standardContextual"/>
    </w:rPr>
  </w:style>
  <w:style w:type="character" w:styleId="IntenseEmphasis">
    <w:name w:val="Intense Emphasis"/>
    <w:basedOn w:val="DefaultParagraphFont"/>
    <w:uiPriority w:val="21"/>
    <w:qFormat/>
    <w:rsid w:val="00251EBB"/>
    <w:rPr>
      <w:i/>
      <w:iCs/>
      <w:color w:val="0F4761" w:themeColor="accent1" w:themeShade="BF"/>
    </w:rPr>
  </w:style>
  <w:style w:type="paragraph" w:styleId="IntenseQuote">
    <w:name w:val="Intense Quote"/>
    <w:basedOn w:val="Normal"/>
    <w:next w:val="Normal"/>
    <w:link w:val="IntenseQuoteChar"/>
    <w:uiPriority w:val="30"/>
    <w:qFormat/>
    <w:rsid w:val="00251EB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i/>
      <w:iCs/>
      <w:color w:val="0F4761" w:themeColor="accent1" w:themeShade="BF"/>
      <w:kern w:val="2"/>
      <w:sz w:val="24"/>
      <w:szCs w:val="24"/>
      <w:lang w:eastAsia="zh-CN"/>
      <w14:ligatures w14:val="standardContextual"/>
    </w:rPr>
  </w:style>
  <w:style w:type="character" w:customStyle="1" w:styleId="IntenseQuoteChar">
    <w:name w:val="Intense Quote Char"/>
    <w:basedOn w:val="DefaultParagraphFont"/>
    <w:link w:val="IntenseQuote"/>
    <w:uiPriority w:val="30"/>
    <w:rsid w:val="00251EBB"/>
    <w:rPr>
      <w:i/>
      <w:iCs/>
      <w:color w:val="0F4761" w:themeColor="accent1" w:themeShade="BF"/>
    </w:rPr>
  </w:style>
  <w:style w:type="character" w:styleId="IntenseReference">
    <w:name w:val="Intense Reference"/>
    <w:basedOn w:val="DefaultParagraphFont"/>
    <w:uiPriority w:val="32"/>
    <w:qFormat/>
    <w:rsid w:val="00251EBB"/>
    <w:rPr>
      <w:b/>
      <w:bCs/>
      <w:smallCaps/>
      <w:color w:val="0F4761" w:themeColor="accent1" w:themeShade="BF"/>
      <w:spacing w:val="5"/>
    </w:rPr>
  </w:style>
  <w:style w:type="paragraph" w:styleId="Footer">
    <w:name w:val="footer"/>
    <w:basedOn w:val="Normal"/>
    <w:link w:val="FooterChar"/>
    <w:uiPriority w:val="99"/>
    <w:unhideWhenUsed/>
    <w:qFormat/>
    <w:rsid w:val="00251E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1EBB"/>
    <w:rPr>
      <w:rFonts w:ascii="Times New Roman" w:eastAsia="Times New Roman" w:hAnsi="Times New Roman"/>
      <w:kern w:val="0"/>
      <w:sz w:val="22"/>
      <w:szCs w:val="22"/>
      <w:lang w:eastAsia="en-US"/>
      <w14:ligatures w14:val="none"/>
    </w:rPr>
  </w:style>
  <w:style w:type="paragraph" w:styleId="Header">
    <w:name w:val="header"/>
    <w:basedOn w:val="Normal"/>
    <w:link w:val="HeaderChar"/>
    <w:uiPriority w:val="99"/>
    <w:unhideWhenUsed/>
    <w:rsid w:val="00251E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1EBB"/>
    <w:rPr>
      <w:rFonts w:ascii="Times New Roman" w:eastAsia="Times New Roman" w:hAnsi="Times New Roman"/>
      <w:kern w:val="0"/>
      <w:sz w:val="22"/>
      <w:szCs w:val="22"/>
      <w:lang w:eastAsia="en-US"/>
      <w14:ligatures w14:val="none"/>
    </w:rPr>
  </w:style>
  <w:style w:type="table" w:styleId="TableGrid">
    <w:name w:val="Table Grid"/>
    <w:basedOn w:val="TableNormal"/>
    <w:uiPriority w:val="59"/>
    <w:rsid w:val="00251EBB"/>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pplementarysubtitle">
    <w:name w:val="Supplementary subtitle"/>
    <w:qFormat/>
    <w:rsid w:val="00251EBB"/>
    <w:pPr>
      <w:spacing w:after="120" w:line="276" w:lineRule="auto"/>
    </w:pPr>
    <w:rPr>
      <w:rFonts w:ascii="Times New Roman" w:eastAsia="Times New Roman" w:hAnsi="Times New Roman"/>
      <w:i/>
      <w:kern w:val="0"/>
      <w:sz w:val="20"/>
      <w:szCs w:val="22"/>
      <w:lang w:eastAsia="en-US"/>
      <w14:ligatures w14:val="none"/>
    </w:rPr>
  </w:style>
  <w:style w:type="paragraph" w:customStyle="1" w:styleId="Supplementarynote">
    <w:name w:val="Supplementary note"/>
    <w:qFormat/>
    <w:rsid w:val="00251EBB"/>
    <w:pPr>
      <w:spacing w:after="100" w:line="252" w:lineRule="auto"/>
    </w:pPr>
    <w:rPr>
      <w:rFonts w:ascii="Times New Roman" w:eastAsia="Times New Roman" w:hAnsi="Times New Roman"/>
      <w:kern w:val="0"/>
      <w:sz w:val="18"/>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1649</Words>
  <Characters>9405</Characters>
  <Application>Microsoft Office Word</Application>
  <DocSecurity>0</DocSecurity>
  <Lines>78</Lines>
  <Paragraphs>22</Paragraphs>
  <ScaleCrop>false</ScaleCrop>
  <Company/>
  <LinksUpToDate>false</LinksUpToDate>
  <CharactersWithSpaces>11032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Pawar</dc:creator>
  <cp:keywords/>
  <dc:description/>
  <cp:lastModifiedBy>Sachin Pawar</cp:lastModifiedBy>
  <cp:revision>1</cp:revision>
  <dcterms:created xsi:type="dcterms:W3CDTF">2026-09-03T18:53:00Z</dcterms:created>
  <dcterms:modified xsi:type="dcterms:W3CDTF">2026-09-03T18:54:00Z</dcterms:modified>
</cp:coreProperties>
</file>