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6A34" w14:textId="77777777" w:rsidR="009E653F" w:rsidRDefault="00000000">
      <w:pPr>
        <w:spacing w:after="120"/>
        <w:jc w:val="center"/>
      </w:pPr>
      <w:r>
        <w:rPr>
          <w:b/>
          <w:sz w:val="32"/>
        </w:rPr>
        <w:t>Supplementary Materials</w:t>
      </w:r>
    </w:p>
    <w:p w14:paraId="79811784" w14:textId="77777777" w:rsidR="009E653F" w:rsidRDefault="00000000">
      <w:pPr>
        <w:jc w:val="center"/>
      </w:pPr>
      <w:r>
        <w:rPr>
          <w:i/>
        </w:rPr>
        <w:t>Dynamic functional-connectivity graph-theory analysis of IGD versus HC</w:t>
      </w:r>
    </w:p>
    <w:p w14:paraId="68701FDB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Table S1. Geometric-elbow diagnostics across candidate state numbers (K = 2–10)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93"/>
        <w:gridCol w:w="1294"/>
        <w:gridCol w:w="1294"/>
        <w:gridCol w:w="1294"/>
        <w:gridCol w:w="1294"/>
        <w:gridCol w:w="1479"/>
        <w:gridCol w:w="1294"/>
      </w:tblGrid>
      <w:tr w:rsidR="009E653F" w14:paraId="663ACE66" w14:textId="77777777">
        <w:trPr>
          <w:jc w:val="center"/>
        </w:trPr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830CF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K</w:t>
            </w:r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E955BF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Full-window inertia</w:t>
            </w:r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2F5CC5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40-s median distance</w:t>
            </w:r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AAD665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60-s median distance</w:t>
            </w:r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93B388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80-s median distance</w:t>
            </w:r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FF4334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Elbow frequency, 40/60/80 s</w:t>
            </w:r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65F6F3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Aggregate result</w:t>
            </w:r>
          </w:p>
        </w:tc>
      </w:tr>
      <w:tr w:rsidR="009E653F" w14:paraId="051389F8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001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2E7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17,011,740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BF5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3D34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D52F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39CA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0.0/0.0/0.0%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A5F" w14:textId="77777777" w:rsidR="009E653F" w:rsidRDefault="009E653F">
            <w:pPr>
              <w:spacing w:line="240" w:lineRule="auto"/>
            </w:pPr>
          </w:p>
        </w:tc>
      </w:tr>
      <w:tr w:rsidR="009E653F" w14:paraId="340B5A18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9F3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328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16,086,555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75E6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0.222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5F5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0.223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014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0.202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63A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9.3/8.0/15.3%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BDFC" w14:textId="77777777" w:rsidR="009E653F" w:rsidRDefault="009E653F">
            <w:pPr>
              <w:spacing w:line="240" w:lineRule="auto"/>
            </w:pPr>
          </w:p>
        </w:tc>
      </w:tr>
      <w:tr w:rsidR="009E653F" w14:paraId="2960A584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13A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B0D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15,699,764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58D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0.299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DC9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0.294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8F0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0.223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C08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54.7/66.7/45.3%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274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Median elbow</w:t>
            </w:r>
          </w:p>
        </w:tc>
      </w:tr>
      <w:tr w:rsidR="009E653F" w14:paraId="1F20B263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A8C0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930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15,516,519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731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0.251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7F5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1C5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0.190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F291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30.7/22.0/17.3%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893F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Best curve: 40/80 s</w:t>
            </w:r>
          </w:p>
        </w:tc>
      </w:tr>
      <w:tr w:rsidR="009E653F" w14:paraId="73399C0C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430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02CD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15,189,798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66D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AF0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0.208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A19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0.151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570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2.7/3.3/14.7%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94E9C" w14:textId="77777777" w:rsidR="009E653F" w:rsidRDefault="009E653F">
            <w:pPr>
              <w:spacing w:line="240" w:lineRule="auto"/>
            </w:pPr>
          </w:p>
        </w:tc>
      </w:tr>
      <w:tr w:rsidR="009E653F" w14:paraId="399A6BAD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6F5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06DE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15,038,768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4A56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0.174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8D7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0.160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31D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0.101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72CD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2.7/0.0/4.7%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7B4F" w14:textId="77777777" w:rsidR="009E653F" w:rsidRDefault="009E653F">
            <w:pPr>
              <w:spacing w:line="240" w:lineRule="auto"/>
            </w:pPr>
          </w:p>
        </w:tc>
      </w:tr>
      <w:tr w:rsidR="009E653F" w14:paraId="0B906277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ADE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546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14,925,136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4140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0.114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16E5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EDF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0.054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058A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0.0/0.0/2.7%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C76D" w14:textId="77777777" w:rsidR="009E653F" w:rsidRDefault="009E653F">
            <w:pPr>
              <w:spacing w:line="240" w:lineRule="auto"/>
            </w:pPr>
          </w:p>
        </w:tc>
      </w:tr>
      <w:tr w:rsidR="009E653F" w14:paraId="3999BFA7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E15B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01C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14,814,602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DEE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0.062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E1E0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0.059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ECB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0.066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ABB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0.0/0.0/0.0%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EAF7" w14:textId="77777777" w:rsidR="009E653F" w:rsidRDefault="009E653F">
            <w:pPr>
              <w:spacing w:line="240" w:lineRule="auto"/>
            </w:pPr>
          </w:p>
        </w:tc>
      </w:tr>
      <w:tr w:rsidR="009E653F" w14:paraId="599F2985" w14:textId="77777777">
        <w:trPr>
          <w:jc w:val="center"/>
        </w:trPr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A5A2CC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75AB1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14,739,773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31331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3812FB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E0FD10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D2BBB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0.0/0.0/0.0%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277D124" w14:textId="77777777" w:rsidR="009E653F" w:rsidRDefault="009E653F">
            <w:pPr>
              <w:spacing w:line="240" w:lineRule="auto"/>
            </w:pPr>
          </w:p>
        </w:tc>
      </w:tr>
    </w:tbl>
    <w:p w14:paraId="4A08AC2E" w14:textId="77777777" w:rsidR="009E653F" w:rsidRDefault="00000000">
      <w:pPr>
        <w:spacing w:before="60" w:after="120" w:line="240" w:lineRule="auto"/>
      </w:pPr>
      <w:r>
        <w:rPr>
          <w:sz w:val="18"/>
        </w:rPr>
        <w:t>Note. The primary full-window analysis used 19,152 windows and 100 starts per K; the fixed maximum point-to-line distance selected K = 4. Sensitivity analyses used six temporally stratified windows per participant (684 windows) and 150 starts per K for each window length. Distances shown are from median-inertia curves, which selected K = 4 at 40, 60, and 80 s. K = 4 was modal across initialization-level elbows, although below 50% at 80 s; best-inertia curves selected K = 5 at 40 and 80 s. The 60-s sampled centroids matched full-window centroids at r = 0.988–0.993. Across 100 group-stratified split halves, median matched-centroid r was 0.894 (2.5th–97.5th percentile, 0.351–0.920), with 15/100 repetitions containing one r &lt; 0.50. One 80-s centroid was unstable relative to 60 s (r = 0.373); all other cross-window matches were r = 0.950–0.989. K = 4 was retained as a literature-comparable resolution, not as uniquely optimal.</w:t>
      </w:r>
    </w:p>
    <w:p w14:paraId="49C24AE2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Figure S1. Geometric-elbow and K = 4 stability diagnostics</w:t>
      </w:r>
    </w:p>
    <w:p w14:paraId="3DBFA8B4" w14:textId="77777777" w:rsidR="009E653F" w:rsidRDefault="00000000">
      <w:pPr>
        <w:jc w:val="center"/>
      </w:pPr>
      <w:r>
        <w:rPr>
          <w:noProof/>
        </w:rPr>
        <w:drawing>
          <wp:inline distT="0" distB="0" distL="0" distR="0" wp14:anchorId="5558B96E" wp14:editId="47CEA147">
            <wp:extent cx="5733288" cy="42065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420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CABE" w14:textId="77777777" w:rsidR="009E653F" w:rsidRDefault="00000000">
      <w:pPr>
        <w:spacing w:before="60" w:after="120" w:line="240" w:lineRule="auto"/>
      </w:pPr>
      <w:r>
        <w:rPr>
          <w:sz w:val="20"/>
        </w:rPr>
        <w:lastRenderedPageBreak/>
        <w:t>Caption. Panel A shows normalised best-inertia curves across 40-, 60-, and 80-s windows; open symbols mark the best-curve elbows. Panel B shows the corresponding normalised point-to-line distances. Panel C shows 400 matched centroid correlations and 100 repeat-mean correlations from group-stratified split halves at K = 4. Panel D shows elbow-selection frequencies across 150 matched initialization curves for each window length. Dashed vertical lines mark K = 4.</w:t>
      </w:r>
    </w:p>
    <w:p w14:paraId="31E9D48F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Table S2. State-specific analytic sample sizes and graph-feature availability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9E653F" w14:paraId="4987C18C" w14:textId="77777777">
        <w:trPr>
          <w:jc w:val="center"/>
        </w:trPr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28C3D6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91C6EE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Complete global-graph cases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2D6C59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IGD IAT-SVR n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681F5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SVR predictor features</w:t>
            </w:r>
          </w:p>
        </w:tc>
      </w:tr>
      <w:tr w:rsidR="009E653F" w14:paraId="1C5C8EA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E96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E200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50 (22 HC / 28 IGD)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08FA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2E58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aCp, aEg, aEloc, aLp, aSigma</w:t>
            </w:r>
          </w:p>
        </w:tc>
      </w:tr>
      <w:tr w:rsidR="009E653F" w14:paraId="5F966562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E33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 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0E92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110 (52 HC / 58 IGD)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5DE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2D8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aCp, aEg, aEloc, aLp, aSigma</w:t>
            </w:r>
          </w:p>
        </w:tc>
      </w:tr>
      <w:tr w:rsidR="009E653F" w14:paraId="50C9D33C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514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 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8B4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105 (53 HC / 52 IGD)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7054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35C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aCp, aEg, aEloc, aLp, aSigma</w:t>
            </w:r>
          </w:p>
        </w:tc>
      </w:tr>
      <w:tr w:rsidR="009E653F" w14:paraId="075D1350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B995D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 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FB71CC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85 (40 HC / 45 IGD)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ED88BF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47E2BA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aCp, aEg, aEloc, aLp, aSigma</w:t>
            </w:r>
          </w:p>
        </w:tc>
      </w:tr>
    </w:tbl>
    <w:p w14:paraId="18BAAAA6" w14:textId="77777777" w:rsidR="009E653F" w:rsidRDefault="00000000">
      <w:pPr>
        <w:spacing w:before="60" w:after="120" w:line="240" w:lineRule="auto"/>
      </w:pPr>
      <w:r>
        <w:rPr>
          <w:sz w:val="18"/>
        </w:rPr>
        <w:t>Note. Complete cases are participants expressing the state and having valid covariates and graph metrics; no missing state-by-participant cell was imputed. No minimum state-window count beyond state expression was imposed. IAT-SVR was restricted to IGD participants and used the five listed AUC-integrated global graph features.</w:t>
      </w:r>
    </w:p>
    <w:p w14:paraId="4C3159D3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Table S3. Non-State-4 global graph-theory statistics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9E653F" w14:paraId="202D6868" w14:textId="77777777">
        <w:trPr>
          <w:jc w:val="center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C4FE45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FF7E50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Metric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19137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HC, mean ±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10C3CE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IGD, mean ±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D895C1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β (IGD − HC)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9F711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4C368B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df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95D02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P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95F82E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FDR q within state</w:t>
            </w:r>
          </w:p>
        </w:tc>
      </w:tr>
      <w:tr w:rsidR="009E653F" w14:paraId="458D588B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B0FC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8653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8DE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0.210 ± 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DDD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0.210 ± 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E203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2CF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54C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331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D2EE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0.984</w:t>
            </w:r>
          </w:p>
        </w:tc>
      </w:tr>
      <w:tr w:rsidR="009E653F" w14:paraId="2EB77BA8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934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E3C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942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0.153 ± 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17C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0.148 ± 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052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B86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-1.216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7F6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C9F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F00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0.604</w:t>
            </w:r>
          </w:p>
        </w:tc>
      </w:tr>
      <w:tr w:rsidR="009E653F" w14:paraId="34B2C2B5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FAA7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115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aEloc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1C9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0.244 ± 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F622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0.242 ± 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A2A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5EA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E3B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FD2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B02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0.641</w:t>
            </w:r>
          </w:p>
        </w:tc>
      </w:tr>
      <w:tr w:rsidR="009E653F" w14:paraId="305E007A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661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F72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12E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1.076 ± 0.130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D92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1.125 ± 0.120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473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DF77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1.147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067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4D21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665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0.604</w:t>
            </w:r>
          </w:p>
        </w:tc>
      </w:tr>
      <w:tr w:rsidR="009E653F" w14:paraId="376564D8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140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090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aGamma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76B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0.462 ± 0.081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B81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0.445 ± 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4B06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14BA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FD10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F74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3306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0.604</w:t>
            </w:r>
          </w:p>
        </w:tc>
      </w:tr>
      <w:tr w:rsidR="009E653F" w14:paraId="0A9B6D2D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A827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F55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aLambda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DA3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0.388 ± 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FA69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0.391 ± 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6ED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A16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97C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73D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7C7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0.604</w:t>
            </w:r>
          </w:p>
        </w:tc>
      </w:tr>
      <w:tr w:rsidR="009E653F" w14:paraId="02218AD2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1FC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EE1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aSigma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A4E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0.439 ± 0.073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B027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0.420 ± 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994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1C2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-1.039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B21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503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F28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0.604</w:t>
            </w:r>
          </w:p>
        </w:tc>
      </w:tr>
      <w:tr w:rsidR="009E653F" w14:paraId="3B3E3B54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75E1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CDA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92E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0.209 ± 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A51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0.209 ± 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2CA5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DF3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287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0A8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525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0.985</w:t>
            </w:r>
          </w:p>
        </w:tc>
      </w:tr>
      <w:tr w:rsidR="009E653F" w14:paraId="6B31203D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E50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EDE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8A0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0.178 ± 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7FC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0.177 ± 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350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56D2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D3D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EB0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93D4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0.698</w:t>
            </w:r>
          </w:p>
        </w:tc>
      </w:tr>
      <w:tr w:rsidR="009E653F" w14:paraId="6C1B46C9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B4A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50B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aEloc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65B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0.259 ± 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58B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0.258 ± 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FAE5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004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7278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B61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B86B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0.698</w:t>
            </w:r>
          </w:p>
        </w:tc>
      </w:tr>
      <w:tr w:rsidR="009E653F" w14:paraId="49956C22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6AF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F0A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3B6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0.898 ± 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70CB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0.913 ± 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F1BE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1D8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594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DD55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DDD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0.684</w:t>
            </w:r>
          </w:p>
        </w:tc>
      </w:tr>
      <w:tr w:rsidR="009E653F" w14:paraId="5E7A9F48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301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ABC3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aGamma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559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0.514 ± 0.073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3FA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0.502 ± 0.076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C40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A1CE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-1.076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88C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49C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516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0.684</w:t>
            </w:r>
          </w:p>
        </w:tc>
      </w:tr>
      <w:tr w:rsidR="009E653F" w14:paraId="6766C77B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818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EA88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aLambda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1B6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0.389 ± 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B5E5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0.389 ± 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CE8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17F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DFDD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701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773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0.962</w:t>
            </w:r>
          </w:p>
        </w:tc>
      </w:tr>
      <w:tr w:rsidR="009E653F" w14:paraId="49C1A68F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FAA9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A58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aSigma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B58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0.487 ± 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40B6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0.475 ± 0.068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9AA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CF7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-1.056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E24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3DD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94A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0.684</w:t>
            </w:r>
          </w:p>
        </w:tc>
      </w:tr>
      <w:tr w:rsidR="009E653F" w14:paraId="1D3C0031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A39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204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665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0.194 ± 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9DD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0.194 ± 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AA8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0FC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E58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D69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670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  <w:tr w:rsidR="009E653F" w14:paraId="4DF83582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208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CFB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74B9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0.194 ± 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AE59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0.194 ± 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6017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C32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FE3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992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0869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  <w:tr w:rsidR="009E653F" w14:paraId="1C40742E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903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EA5E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aEloc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A9C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0.260 ± 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021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0.260 ± 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0AC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FC0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F3D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2174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4B4F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  <w:tr w:rsidR="009E653F" w14:paraId="0B870B11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5BE9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4AF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FB3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0.795 ± 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F2EC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0.797 ± 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2017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6AD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31C9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90C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7B85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  <w:tr w:rsidR="009E653F" w14:paraId="41C6D202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468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E30C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aGamma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1778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0.607 ± 0.083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D22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0.606 ± 0.077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4FBC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0AC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6A6C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C70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8544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  <w:tr w:rsidR="009E653F" w14:paraId="64796284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6DD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AC10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aLambda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B17A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0.388 ± 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76F3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0.388 ± 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222A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A88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5210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1AE7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D9C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  <w:tr w:rsidR="009E653F" w14:paraId="0D75AA76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FC5420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D8241A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aSigma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91EB33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 xml:space="preserve">0.573 ± </w:t>
            </w:r>
            <w:r>
              <w:rPr>
                <w:sz w:val="18"/>
              </w:rPr>
              <w:lastRenderedPageBreak/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CCFF6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 xml:space="preserve">0.572 ± </w:t>
            </w:r>
            <w:r>
              <w:rPr>
                <w:sz w:val="18"/>
              </w:rPr>
              <w:lastRenderedPageBreak/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6EA00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>-0.0027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6FF152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-0.187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DC1BF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129AA8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680923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0.974</w:t>
            </w:r>
          </w:p>
        </w:tc>
      </w:tr>
    </w:tbl>
    <w:p w14:paraId="761934F9" w14:textId="77777777" w:rsidR="009E653F" w:rsidRDefault="00000000">
      <w:pPr>
        <w:spacing w:before="60" w:after="120" w:line="240" w:lineRule="auto"/>
      </w:pPr>
      <w:r>
        <w:rPr>
          <w:sz w:val="18"/>
        </w:rPr>
        <w:t>Note. AUC-integrated global metrics were tested with GLM: metric ~ group + sex + age + education + mean framewise displacement. The table reports FDR correction across seven metrics within each state. No metric in States 1–3 survived this correction. Under sensitivity correction across all 28 state-by-metric tests, State 4 aEloc, aGamma, and aSigma remained significant (all q = 0.026).</w:t>
      </w:r>
    </w:p>
    <w:p w14:paraId="401238EE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Figure S2. Non-State-4 global graph effects</w:t>
      </w:r>
    </w:p>
    <w:p w14:paraId="161EE1B3" w14:textId="77777777" w:rsidR="009E653F" w:rsidRDefault="00000000">
      <w:pPr>
        <w:jc w:val="center"/>
      </w:pPr>
      <w:r>
        <w:rPr>
          <w:noProof/>
        </w:rPr>
        <w:drawing>
          <wp:inline distT="0" distB="0" distL="0" distR="0" wp14:anchorId="5D0E0558" wp14:editId="7DEFF807">
            <wp:extent cx="5733288" cy="47218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472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3E55" w14:textId="77777777" w:rsidR="009E653F" w:rsidRDefault="00000000">
      <w:pPr>
        <w:spacing w:before="60" w:after="120" w:line="240" w:lineRule="auto"/>
      </w:pPr>
      <w:r>
        <w:rPr>
          <w:sz w:val="20"/>
        </w:rPr>
        <w:t>Caption. Adjusted global graph effects in States 1–3; corresponding State 4 estimates are reported in main Table 3.</w:t>
      </w:r>
    </w:p>
    <w:p w14:paraId="5EF52675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Table S4. Nodal results under whole-analysis FDR correction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581"/>
        <w:gridCol w:w="1532"/>
        <w:gridCol w:w="1532"/>
        <w:gridCol w:w="1532"/>
        <w:gridCol w:w="1532"/>
      </w:tblGrid>
      <w:tr w:rsidR="009E653F" w14:paraId="407EF7DF" w14:textId="77777777">
        <w:trPr>
          <w:jc w:val="center"/>
        </w:trPr>
        <w:tc>
          <w:tcPr>
            <w:tcW w:w="14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DD13FB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Scope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F85B72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Metrics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CF45A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Tests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5AF06C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Minimum P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6A30F1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Minimum BH-FDR q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863A8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Tests with q &lt; 0.05</w:t>
            </w:r>
          </w:p>
        </w:tc>
      </w:tr>
      <w:tr w:rsidR="009E653F" w14:paraId="17D376EB" w14:textId="77777777">
        <w:trPr>
          <w:jc w:val="center"/>
        </w:trPr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1F808C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All four states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375307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aNodalDegree and aNodalEfficiency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D19A0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1,280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10ED2F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&lt;0.001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C1029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8D03B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</w:t>
            </w:r>
          </w:p>
        </w:tc>
      </w:tr>
    </w:tbl>
    <w:p w14:paraId="2685D224" w14:textId="77777777" w:rsidR="009E653F" w:rsidRDefault="00000000">
      <w:pPr>
        <w:spacing w:before="60" w:after="120" w:line="240" w:lineRule="auto"/>
      </w:pPr>
      <w:r>
        <w:rPr>
          <w:sz w:val="18"/>
        </w:rPr>
        <w:t>Note. The prespecified nodal family comprised all tests across four states, two nodal measures, and 160 nodes (4 × 2 × 160 = 1,280). Benjamini–Hochberg FDR correction was applied once across the complete family; no nodal effect survived at q &lt; 0.05.</w:t>
      </w:r>
    </w:p>
    <w:p w14:paraId="76DB6E77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Table S5. Primary and repeated nested-cross-validation IAT-SVR results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9E653F" w14:paraId="1B22F1C3" w14:textId="77777777">
        <w:trPr>
          <w:jc w:val="center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29BEB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B85890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IGD 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CE7C87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LOOCV r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303143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LOOCV Q² / MAE / RMSE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82A58D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FL P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A017E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FDR q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C228A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Nested r, median [2.5–97.5%]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9D59F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Nested Q², median [2.5–97.5%]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59047E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Nested MAE / RMSE, median</w:t>
            </w:r>
          </w:p>
        </w:tc>
      </w:tr>
      <w:tr w:rsidR="009E653F" w14:paraId="3FDABA82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89F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0D6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6E3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C6F3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−0.314 / 8.55 / 10.57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B4B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C63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537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0.229 [0.019–0.355]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14F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−0.339 [−0.893–0.015]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AFA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8.58 / 10.66</w:t>
            </w:r>
          </w:p>
        </w:tc>
      </w:tr>
      <w:tr w:rsidR="009E653F" w14:paraId="41C7B31D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F33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BF3E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888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C7C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 xml:space="preserve">0.265 / </w:t>
            </w:r>
            <w:r>
              <w:rPr>
                <w:sz w:val="18"/>
              </w:rPr>
              <w:lastRenderedPageBreak/>
              <w:t>7.94 / 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145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>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B29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718E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 xml:space="preserve">0.538 </w:t>
            </w:r>
            <w:r>
              <w:rPr>
                <w:sz w:val="18"/>
              </w:rPr>
              <w:lastRenderedPageBreak/>
              <w:t>[0.436–0.597]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446A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 xml:space="preserve">0.215 </w:t>
            </w:r>
            <w:r>
              <w:rPr>
                <w:sz w:val="18"/>
              </w:rPr>
              <w:lastRenderedPageBreak/>
              <w:t>[−0.726–0.327]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D5E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 xml:space="preserve">8.31 / </w:t>
            </w:r>
            <w:r>
              <w:rPr>
                <w:sz w:val="18"/>
              </w:rPr>
              <w:lastRenderedPageBreak/>
              <w:t>10.10</w:t>
            </w:r>
          </w:p>
        </w:tc>
      </w:tr>
      <w:tr w:rsidR="009E653F" w14:paraId="43E4C956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F36F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EDB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3CB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253F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0.008 / 8.46 / 10.49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DA4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0.1510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35E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9DA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0.288 [0.089–0.415]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E4B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−0.042 [−0.303–0.141]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2045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8.62 / 10.75</w:t>
            </w:r>
          </w:p>
        </w:tc>
      </w:tr>
      <w:tr w:rsidR="009E653F" w14:paraId="4D5BD487" w14:textId="77777777">
        <w:trPr>
          <w:jc w:val="center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B0CD30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608141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F6EBA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1BB3BE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0.310 / 7.49 / 9.40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6F6361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E86893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0.0148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49FF6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0.581 [0.470–0.662]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D8141E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0.300 [0.134–0.423]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88ACD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7.48 / 9.47</w:t>
            </w:r>
          </w:p>
        </w:tc>
      </w:tr>
    </w:tbl>
    <w:p w14:paraId="56F514C3" w14:textId="77777777" w:rsidR="009E653F" w:rsidRDefault="00000000">
      <w:pPr>
        <w:spacing w:before="60" w:after="120" w:line="240" w:lineRule="auto"/>
      </w:pPr>
      <w:r>
        <w:rPr>
          <w:sz w:val="18"/>
        </w:rPr>
        <w:t>Note. Linear SVR used aCp, aEg, aEloc, aLp, and aSigma. Covariate residualisation and scaling were fitted only within each training set. The primary model used fixed C = 1 and epsilon = 0.1 with leave-one-out cross-validation. FL P is the two-sided p value from 5,000 Freedman–Lane reduced-model residual permutations repeating the complete LOOCV pipeline; q is Benjamini–Hochberg FDR across four states. Nested validation comprised 100 repeated outer five-fold runs with inner four-fold selection of C and epsilon by RMSE. Brackets show the 2.5th–97.5th percentiles across repetitions. State 2 and State 4 survived primary FDR and had positive median nested Q²; the State 2 Q² interval nevertheless included negative values.</w:t>
      </w:r>
    </w:p>
    <w:p w14:paraId="132A4EE4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Figure S3. Repeated nested-cross-validation distributions across all states</w:t>
      </w:r>
    </w:p>
    <w:p w14:paraId="59213055" w14:textId="77777777" w:rsidR="009E653F" w:rsidRDefault="00000000">
      <w:pPr>
        <w:jc w:val="center"/>
      </w:pPr>
      <w:r>
        <w:rPr>
          <w:noProof/>
        </w:rPr>
        <w:drawing>
          <wp:inline distT="0" distB="0" distL="0" distR="0" wp14:anchorId="7A0B166E" wp14:editId="16687DC3">
            <wp:extent cx="5733288" cy="29462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294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80CDC" w14:textId="77777777" w:rsidR="009E653F" w:rsidRDefault="00000000">
      <w:pPr>
        <w:keepNext/>
        <w:spacing w:before="120" w:after="60" w:line="240" w:lineRule="auto"/>
      </w:pPr>
      <w:r>
        <w:rPr>
          <w:b/>
          <w:sz w:val="20"/>
        </w:rPr>
        <w:t>Table S6. IAT-SVR analysis specification and outcome definition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06"/>
        <w:gridCol w:w="1186"/>
        <w:gridCol w:w="1053"/>
        <w:gridCol w:w="5897"/>
      </w:tblGrid>
      <w:tr w:rsidR="009E653F" w14:paraId="33CABBAD" w14:textId="77777777">
        <w:trPr>
          <w:jc w:val="center"/>
        </w:trPr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C2247E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Item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A2D966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Value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1EECDD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Scope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5ACF2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Details</w:t>
            </w:r>
          </w:p>
        </w:tc>
      </w:tr>
      <w:tr w:rsidR="009E653F" w14:paraId="7D4136C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BCE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Target variable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E632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IAT total score (iat_score)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D99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58 IGD participants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65B8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Higher scores indicate greater symptom severity</w:t>
            </w:r>
          </w:p>
        </w:tc>
      </w:tr>
      <w:tr w:rsidR="009E653F" w14:paraId="6242D9A8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7FF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Target provenance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D569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Study-team final IAT file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FD3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SHA-256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887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826E3AC5BCFA47AE45B8CA3638E16E8E45AC0F10411163E51C2500AC99088085</w:t>
            </w:r>
          </w:p>
        </w:tc>
      </w:tr>
      <w:tr w:rsidR="009E653F" w14:paraId="131D44B3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EF5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Feature set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F2A1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aCp, aEg, aEloc, aLp, aSigma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5D8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State-specific AUC graph metrics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33A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aGamma and aLambda excluded</w:t>
            </w:r>
          </w:p>
        </w:tc>
      </w:tr>
      <w:tr w:rsidR="009E653F" w14:paraId="223AC42C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13A2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Fold-wise preprocessing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FD92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Covariate residualisation and standardisation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A7B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Every inner, outer, and LOOCV training set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971A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Age, sex, education, and mean framewise displacement</w:t>
            </w:r>
          </w:p>
        </w:tc>
      </w:tr>
      <w:tr w:rsidR="009E653F" w14:paraId="22162E07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48C0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Primary model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8DD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Linear SVR; fixed LOOCV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63C2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C = 1.0; epsilon = 0.1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8AF8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Pearson r, Q², MAE, and RMSE</w:t>
            </w:r>
          </w:p>
        </w:tc>
      </w:tr>
      <w:tr w:rsidR="009E653F" w14:paraId="38F28867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859B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Primary inference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549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Freedman–Lane residual permutation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F10F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5,000 two-sided permutations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9BF3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Complete fixed-parameter LOOCV pipeline repeated</w:t>
            </w:r>
          </w:p>
        </w:tc>
      </w:tr>
      <w:tr w:rsidR="009E653F" w14:paraId="653CD028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AA1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Robustness validation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40F10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100 repeated nested five-</w:t>
            </w:r>
            <w:r>
              <w:rPr>
                <w:sz w:val="18"/>
              </w:rPr>
              <w:lastRenderedPageBreak/>
              <w:t>fold CV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2BE31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 xml:space="preserve">Inner four-fold RMSE </w:t>
            </w:r>
            <w:r>
              <w:rPr>
                <w:sz w:val="18"/>
              </w:rPr>
              <w:lastRenderedPageBreak/>
              <w:t>tuning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72E6C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lastRenderedPageBreak/>
              <w:t>C = 0.01–100; epsilon = 0.01–2</w:t>
            </w:r>
          </w:p>
        </w:tc>
      </w:tr>
      <w:tr w:rsidR="009E653F" w14:paraId="5FE86443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0A7016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Multiple comparison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7AE8DD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Four state-level permutation p values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6443D34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Benjamini–Hochberg FDR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2ECC257" w14:textId="77777777" w:rsidR="009E653F" w:rsidRDefault="00000000">
            <w:pPr>
              <w:spacing w:line="240" w:lineRule="auto"/>
            </w:pPr>
            <w:r>
              <w:rPr>
                <w:sz w:val="18"/>
              </w:rPr>
              <w:t>State 2 q = 0.0096; State 4 q = 0.0148</w:t>
            </w:r>
          </w:p>
        </w:tc>
      </w:tr>
    </w:tbl>
    <w:p w14:paraId="715B4451" w14:textId="77777777" w:rsidR="009E653F" w:rsidRDefault="00000000">
      <w:pPr>
        <w:spacing w:before="60" w:after="120" w:line="240" w:lineRule="auto"/>
      </w:pPr>
      <w:r>
        <w:rPr>
          <w:sz w:val="18"/>
        </w:rPr>
        <w:t>Note. The same complete IAT outcome was used across all four state-specific models. State-specific sample sizes reflect state expression (States 1–4: n = 28, 58, 52, and 45). The nested grid was C = {0.01, 0.1, 1, 10, 100} and epsilon = {0.01, 0.1, 0.5, 1, 2}; inner-fold RMSE selected the parameters. Random seed was 20260720.</w:t>
      </w:r>
    </w:p>
    <w:sectPr w:rsidR="009E653F" w:rsidSect="00034616">
      <w:footerReference w:type="default" r:id="rId11"/>
      <w:pgSz w:w="11906" w:h="16838"/>
      <w:pgMar w:top="1440" w:right="1440" w:bottom="1440" w:left="1440" w:header="709" w:footer="709" w:gutter="0"/>
      <w:lnNumType w:countBy="1" w:distance="720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72D28" w14:textId="77777777" w:rsidR="00CD181F" w:rsidRDefault="00CD181F">
      <w:pPr>
        <w:spacing w:line="240" w:lineRule="auto"/>
      </w:pPr>
      <w:r>
        <w:separator/>
      </w:r>
    </w:p>
  </w:endnote>
  <w:endnote w:type="continuationSeparator" w:id="0">
    <w:p w14:paraId="7234AB7A" w14:textId="77777777" w:rsidR="00CD181F" w:rsidRDefault="00CD1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7FD9" w14:textId="77777777" w:rsidR="009E653F" w:rsidRDefault="00000000">
    <w:pPr>
      <w:pStyle w:val="a7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7B41" w14:textId="77777777" w:rsidR="00CD181F" w:rsidRDefault="00CD181F">
      <w:pPr>
        <w:spacing w:line="240" w:lineRule="auto"/>
      </w:pPr>
      <w:r>
        <w:separator/>
      </w:r>
    </w:p>
  </w:footnote>
  <w:footnote w:type="continuationSeparator" w:id="0">
    <w:p w14:paraId="0607286E" w14:textId="77777777" w:rsidR="00CD181F" w:rsidRDefault="00CD18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938719">
    <w:abstractNumId w:val="8"/>
  </w:num>
  <w:num w:numId="2" w16cid:durableId="1272055888">
    <w:abstractNumId w:val="6"/>
  </w:num>
  <w:num w:numId="3" w16cid:durableId="1415662618">
    <w:abstractNumId w:val="5"/>
  </w:num>
  <w:num w:numId="4" w16cid:durableId="1970818340">
    <w:abstractNumId w:val="4"/>
  </w:num>
  <w:num w:numId="5" w16cid:durableId="1717119516">
    <w:abstractNumId w:val="7"/>
  </w:num>
  <w:num w:numId="6" w16cid:durableId="1204558147">
    <w:abstractNumId w:val="3"/>
  </w:num>
  <w:num w:numId="7" w16cid:durableId="431247735">
    <w:abstractNumId w:val="2"/>
  </w:num>
  <w:num w:numId="8" w16cid:durableId="705371095">
    <w:abstractNumId w:val="1"/>
  </w:num>
  <w:num w:numId="9" w16cid:durableId="41000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EDA"/>
    <w:rsid w:val="0015074B"/>
    <w:rsid w:val="0029639D"/>
    <w:rsid w:val="00326F90"/>
    <w:rsid w:val="009E653F"/>
    <w:rsid w:val="00AA1D8D"/>
    <w:rsid w:val="00B47730"/>
    <w:rsid w:val="00CB0664"/>
    <w:rsid w:val="00CD181F"/>
    <w:rsid w:val="00FA2D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4EE1D"/>
  <w14:defaultImageDpi w14:val="300"/>
  <w15:docId w15:val="{B9A0E928-1945-4003-A973-E11E89E1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48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24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ferences">
    <w:name w:val="References"/>
    <w:pPr>
      <w:spacing w:after="0" w:line="480" w:lineRule="auto"/>
      <w:ind w:left="360" w:hanging="360"/>
    </w:pPr>
    <w:rPr>
      <w:rFonts w:ascii="Times New Roman" w:eastAsia="Times New Roman" w:hAnsi="Times New Roman" w:cs="Times New Roman"/>
      <w:color w:val="000000"/>
      <w:sz w:val="20"/>
    </w:rPr>
  </w:style>
  <w:style w:type="character" w:styleId="aff9">
    <w:name w:val="line number"/>
    <w:basedOn w:val="a2"/>
    <w:uiPriority w:val="99"/>
    <w:semiHidden/>
    <w:unhideWhenUsed/>
    <w:rsid w:val="0012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1349</Words>
  <Characters>6922</Characters>
  <Application>Microsoft Office Word</Application>
  <DocSecurity>0</DocSecurity>
  <Lines>576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he2593803287@outlook.com</cp:lastModifiedBy>
  <cp:revision>2</cp:revision>
  <dcterms:created xsi:type="dcterms:W3CDTF">2013-12-23T23:15:00Z</dcterms:created>
  <dcterms:modified xsi:type="dcterms:W3CDTF">2026-07-20T15:33:00Z</dcterms:modified>
  <cp:category/>
</cp:coreProperties>
</file>