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0"/>
        </w:rPr>
        <w:t>Supplementary Table S1. Longitudinal endoscopic documentation of duodenal-type follicular lymphoma in published studies.</w:t>
      </w:r>
    </w:p>
    <w:p/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1"/>
        <w:gridCol w:w="680"/>
        <w:gridCol w:w="1417"/>
        <w:gridCol w:w="6236"/>
        <w:gridCol w:w="3118"/>
      </w:tblGrid>
      <w:tr>
        <w:tc>
          <w:tcPr>
            <w:tcW w:type="dxa" w:w="3028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jc w:val="center"/>
            </w:pPr>
            <w:r>
              <w:rPr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Study</w:t>
            </w:r>
          </w:p>
        </w:tc>
        <w:tc>
          <w:tcPr>
            <w:tcW w:type="dxa" w:w="3028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jc w:val="center"/>
            </w:pPr>
            <w:r>
              <w:rPr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type="dxa" w:w="3028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jc w:val="center"/>
            </w:pPr>
            <w:r>
              <w:rPr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Endoscopic</w:t>
              <w:br/>
              <w:t>follow-up</w:t>
            </w:r>
          </w:p>
        </w:tc>
        <w:tc>
          <w:tcPr>
            <w:tcW w:type="dxa" w:w="3028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jc w:val="center"/>
            </w:pPr>
            <w:r>
              <w:rPr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Key contribution</w:t>
            </w:r>
          </w:p>
        </w:tc>
        <w:tc>
          <w:tcPr>
            <w:tcW w:type="dxa" w:w="3028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jc w:val="center"/>
            </w:pPr>
            <w:r>
              <w:rPr>
                <w:b/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Limitation</w:t>
            </w:r>
          </w:p>
        </w:tc>
      </w:tr>
      <w:tr>
        <w:tc>
          <w:tcPr>
            <w:tcW w:type="dxa" w:w="15140"/>
            <w:gridSpan w:val="5"/>
          </w:tcPr>
          <w:p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Studies without longitudinal endoscopic documentation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Norimura et al. [5]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None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First ME-NBI characterization of D-FL (whitish granular/nodular lesions)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Cross-sectional only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Schmatz et al. [3]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63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Clinical only; no serial images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29.2% spontaneous regression under watch-and-wait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Individual endoscopic evolution not recorded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Iwamuro et al. [1]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9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None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ME-NBI differential framework: D-FL (ill-defined spots) vs lymphangiectasia (uniform spots) vs duodenitis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Based on cross-sectional observations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Iwamuro et al. [8]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None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First detection of minute duodenal FL involvement (whitish deposits / thickened villi) before protrusion formation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 longitudinal follow-up; lesions detected during staging of known stage IV FL, not primary D-FL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Shi et al. [6]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Limited (single 1-year follow-up EGD in 3/4 patients)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Clinicopathological characterization in Chinese patients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Cross-sectional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Liu et al. [7]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17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None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Clinicopathological characterization in Chinese patients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Cross-sectional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Iwamuro et al. [4]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248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Annual EGD performed (76.7%); morphological changes not systematically documented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Long-term outcomes of GI-FL with watch-and-wait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Endoscopic morphology changes not systematically recorded</w:t>
            </w:r>
          </w:p>
        </w:tc>
      </w:tr>
      <w:tr>
        <w:tc>
          <w:tcPr>
            <w:tcW w:type="dxa" w:w="15140"/>
            <w:gridSpan w:val="5"/>
          </w:tcPr>
          <w:p>
            <w:r>
              <w:rPr>
                <w:b/>
                <w:sz w:val="18"/>
              </w:rPr>
              <w:t>Studies with longitudinal endoscopic documentation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Kitabatake et al. [9]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6 years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Transformation of established D-FL to DLBCL in depressed red lesions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 w:val="0"/>
                <w:sz w:val="18"/>
              </w:rPr>
              <w:t>Post-diagnosis surveillance only; pre-diagnosis phase not captured</w:t>
            </w:r>
          </w:p>
        </w:tc>
      </w:tr>
      <w:tr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Present case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type="dxa" w:w="3028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2 years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First pre-diagnosis longitudinal documentation: 1–2 mm whitish micro-nodules → typical protruding lesions with three ME-NBI features → stabilization (plateau phase); paired-lesion natural internal control</w:t>
            </w:r>
          </w:p>
        </w:tc>
        <w:tc>
          <w:tcPr>
            <w:tcW w:type="dxa" w:w="3028"/>
          </w:tcPr>
          <w:p>
            <w:pPr>
              <w:jc w:val="left"/>
            </w:pPr>
            <w:r>
              <w:rPr>
                <w:sz w:val="18"/>
              </w:rPr>
            </w:r>
            <w:r>
              <w:rPr>
                <w:rFonts w:ascii="Times New Roman" w:hAnsi="Times New Roman"/>
                <w:b/>
                <w:sz w:val="18"/>
              </w:rPr>
              <w:t>Single case; baseline biopsy omitted</w:t>
            </w:r>
          </w:p>
        </w:tc>
      </w:tr>
      <w:tr>
        <w:tc>
          <w:tcPr>
            <w:tcW w:type="dxa" w:w="15140"/>
            <w:gridSpan w:val="5"/>
            <w:tcBorders>
              <w:bottom w:val="single" w:sz="12" w:space="0" w:color="000000"/>
            </w:tcBorders>
          </w:tcPr>
          <w:p>
            <w:r>
              <w:rPr>
                <w:sz w:val="18"/>
              </w:rPr>
              <w:t>Additional references cited for epidemiology [2], progression predictors [10], immune microenvironment [11], and management guidelines [12] are discussed in the main text.</w:t>
            </w:r>
          </w:p>
        </w:tc>
      </w:tr>
    </w:tbl>
    <w:sectPr w:rsidR="00FC693F" w:rsidRPr="0006063C" w:rsidSect="00034616">
      <w:pgSz w:w="16838" w:h="11906" w:orient="landscape"/>
      <w:pgMar w:top="1440" w:right="850" w:bottom="144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2013-12-23T23:15:00Z</dcterms:created>
  <dcterms:modified xsi:type="dcterms:W3CDTF">2013-12-23T23:15:00Z</dcterms:modified>
  <cp:category/>
</cp:coreProperties>
</file>