
<file path=[Content_Types].xml><?xml version="1.0" encoding="utf-8"?>
<Types xmlns="http://schemas.openxmlformats.org/package/2006/content-types">
  <Default Extension="tiff" ContentType="image/tiff"/>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0A43BE">
      <w:pPr>
        <w:spacing w:line="360" w:lineRule="auto"/>
        <w:jc w:val="both"/>
        <w:rPr>
          <w:rFonts w:hint="default" w:ascii="Times New Roman" w:hAnsi="Times New Roman" w:eastAsia="等线" w:cs="Times New Roman"/>
          <w:b/>
          <w:bCs/>
          <w:kern w:val="0"/>
          <w:sz w:val="24"/>
          <w:szCs w:val="24"/>
          <w:lang w:bidi="ar"/>
        </w:rPr>
      </w:pPr>
      <w:bookmarkStart w:id="10" w:name="_GoBack"/>
      <w:bookmarkEnd w:id="10"/>
      <w:r>
        <w:rPr>
          <w:rFonts w:hint="default" w:ascii="Times New Roman" w:hAnsi="Times New Roman" w:eastAsia="等线" w:cs="Times New Roman"/>
          <w:b/>
          <w:bCs/>
          <w:kern w:val="0"/>
          <w:sz w:val="24"/>
          <w:szCs w:val="24"/>
          <w:lang w:val="en-US" w:eastAsia="zh-CN" w:bidi="ar"/>
        </w:rPr>
        <w:t xml:space="preserve">Chromosome-scale genome assembly and population genomic analysis of </w:t>
      </w:r>
      <w:r>
        <w:rPr>
          <w:rFonts w:hint="default" w:ascii="Times New Roman" w:hAnsi="Times New Roman" w:eastAsia="等线" w:cs="Times New Roman"/>
          <w:b/>
          <w:bCs/>
          <w:kern w:val="0"/>
          <w:sz w:val="24"/>
          <w:szCs w:val="24"/>
          <w:lang w:bidi="ar"/>
        </w:rPr>
        <w:t xml:space="preserve"> </w:t>
      </w:r>
      <w:r>
        <w:rPr>
          <w:rFonts w:hint="default" w:ascii="Times New Roman" w:hAnsi="Times New Roman" w:eastAsia="等线" w:cs="Times New Roman"/>
          <w:b/>
          <w:bCs/>
          <w:i/>
          <w:iCs/>
          <w:kern w:val="0"/>
          <w:sz w:val="24"/>
          <w:szCs w:val="24"/>
          <w:lang w:bidi="ar"/>
        </w:rPr>
        <w:t xml:space="preserve">Phomopsis asparagi </w:t>
      </w:r>
      <w:r>
        <w:rPr>
          <w:rFonts w:hint="default" w:ascii="Times New Roman" w:hAnsi="Times New Roman" w:eastAsia="等线" w:cs="Times New Roman"/>
          <w:b/>
          <w:bCs/>
          <w:kern w:val="0"/>
          <w:sz w:val="24"/>
          <w:szCs w:val="24"/>
          <w:lang w:bidi="ar"/>
        </w:rPr>
        <w:t xml:space="preserve">pathogen reveal </w:t>
      </w:r>
      <w:r>
        <w:rPr>
          <w:rFonts w:hint="default" w:ascii="Times New Roman" w:hAnsi="Times New Roman" w:eastAsia="等线" w:cs="Times New Roman"/>
          <w:b/>
          <w:bCs/>
          <w:kern w:val="0"/>
          <w:sz w:val="24"/>
          <w:szCs w:val="24"/>
          <w:lang w:val="en-US" w:eastAsia="zh-CN" w:bidi="ar"/>
        </w:rPr>
        <w:t>genetic diversity among geographical population</w:t>
      </w:r>
      <w:r>
        <w:rPr>
          <w:rFonts w:hint="default" w:ascii="Times New Roman" w:hAnsi="Times New Roman" w:eastAsia="等线" w:cs="Times New Roman"/>
          <w:b/>
          <w:bCs/>
          <w:kern w:val="0"/>
          <w:sz w:val="24"/>
          <w:szCs w:val="24"/>
          <w:lang w:bidi="ar"/>
        </w:rPr>
        <w:t>s</w:t>
      </w:r>
    </w:p>
    <w:p w14:paraId="6456AE12">
      <w:pPr>
        <w:spacing w:line="360" w:lineRule="auto"/>
        <w:jc w:val="left"/>
        <w:rPr>
          <w:rFonts w:hint="default" w:ascii="Times New Roman" w:hAnsi="Times New Roman" w:eastAsia="等线" w:cs="Times New Roman"/>
          <w:kern w:val="0"/>
          <w:sz w:val="24"/>
          <w:szCs w:val="24"/>
          <w:vertAlign w:val="superscript"/>
          <w:lang w:bidi="ar"/>
        </w:rPr>
      </w:pPr>
      <w:r>
        <w:rPr>
          <w:rFonts w:hint="default" w:ascii="Times New Roman" w:hAnsi="Times New Roman" w:eastAsia="等线" w:cs="Times New Roman"/>
          <w:kern w:val="0"/>
          <w:sz w:val="24"/>
          <w:szCs w:val="24"/>
          <w:lang w:bidi="ar"/>
        </w:rPr>
        <w:t>Yu Shi</w:t>
      </w: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 Chun-Xia Yang</w:t>
      </w: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 Hao-Han Ning</w:t>
      </w: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 Yi-Ran Wang</w:t>
      </w: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 Yuan Wang</w:t>
      </w:r>
      <w:r>
        <w:rPr>
          <w:rFonts w:hint="eastAsia" w:ascii="Times New Roman" w:hAnsi="Times New Roman" w:eastAsia="等线" w:cs="Times New Roman"/>
          <w:kern w:val="0"/>
          <w:sz w:val="24"/>
          <w:szCs w:val="24"/>
          <w:vertAlign w:val="superscript"/>
          <w:lang w:val="en-US" w:eastAsia="zh-CN" w:bidi="ar"/>
        </w:rPr>
        <w:t>3</w:t>
      </w:r>
      <w:r>
        <w:rPr>
          <w:rFonts w:hint="eastAsia" w:ascii="Times New Roman" w:hAnsi="Times New Roman" w:eastAsia="等线" w:cs="Times New Roman"/>
          <w:kern w:val="0"/>
          <w:sz w:val="24"/>
          <w:szCs w:val="24"/>
          <w:lang w:val="en-US" w:eastAsia="zh-CN" w:bidi="ar"/>
        </w:rPr>
        <w:t xml:space="preserve">, </w:t>
      </w:r>
      <w:r>
        <w:rPr>
          <w:rFonts w:hint="default" w:ascii="Times New Roman" w:hAnsi="Times New Roman" w:eastAsia="等线" w:cs="Times New Roman"/>
          <w:kern w:val="0"/>
          <w:sz w:val="24"/>
          <w:szCs w:val="24"/>
          <w:lang w:bidi="ar"/>
        </w:rPr>
        <w:t>Guo-Bing Cui</w:t>
      </w: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 Wu-Jun Gao</w:t>
      </w:r>
      <w:r>
        <w:rPr>
          <w:rFonts w:hint="default" w:ascii="Times New Roman" w:hAnsi="Times New Roman" w:eastAsia="等线" w:cs="Times New Roman"/>
          <w:kern w:val="0"/>
          <w:sz w:val="24"/>
          <w:szCs w:val="24"/>
          <w:vertAlign w:val="superscript"/>
          <w:lang w:bidi="ar"/>
        </w:rPr>
        <w:t>1,2</w:t>
      </w:r>
      <w:r>
        <w:rPr>
          <w:rFonts w:hint="default" w:ascii="Times New Roman" w:hAnsi="Times New Roman" w:eastAsia="等线" w:cs="Times New Roman"/>
          <w:kern w:val="0"/>
          <w:sz w:val="24"/>
          <w:szCs w:val="24"/>
          <w:lang w:bidi="ar"/>
        </w:rPr>
        <w:t>, Shu-Fen Li</w:t>
      </w:r>
      <w:r>
        <w:rPr>
          <w:rFonts w:hint="default" w:ascii="Times New Roman" w:hAnsi="Times New Roman" w:eastAsia="等线" w:cs="Times New Roman"/>
          <w:kern w:val="0"/>
          <w:sz w:val="24"/>
          <w:szCs w:val="24"/>
          <w:vertAlign w:val="superscript"/>
          <w:lang w:bidi="ar"/>
        </w:rPr>
        <w:t>1,*</w:t>
      </w:r>
    </w:p>
    <w:p w14:paraId="520D10A0">
      <w:pPr>
        <w:spacing w:line="360" w:lineRule="auto"/>
        <w:jc w:val="left"/>
        <w:rPr>
          <w:rFonts w:hint="default" w:ascii="Times New Roman" w:hAnsi="Times New Roman" w:eastAsia="等线" w:cs="Times New Roman"/>
          <w:kern w:val="0"/>
          <w:sz w:val="24"/>
          <w:szCs w:val="24"/>
          <w:vertAlign w:val="superscript"/>
          <w:lang w:bidi="ar"/>
        </w:rPr>
      </w:pPr>
    </w:p>
    <w:p w14:paraId="3B10CF73">
      <w:pPr>
        <w:spacing w:line="360" w:lineRule="auto"/>
        <w:jc w:val="both"/>
        <w:rPr>
          <w:rFonts w:hint="default" w:ascii="Times New Roman" w:hAnsi="Times New Roman" w:eastAsia="等线" w:cs="Times New Roman"/>
          <w:kern w:val="0"/>
          <w:sz w:val="24"/>
          <w:szCs w:val="24"/>
          <w:lang w:bidi="ar"/>
        </w:rPr>
      </w:pPr>
      <w:r>
        <w:rPr>
          <w:rFonts w:hint="default" w:ascii="Times New Roman" w:hAnsi="Times New Roman" w:eastAsia="等线" w:cs="Times New Roman"/>
          <w:kern w:val="0"/>
          <w:sz w:val="24"/>
          <w:szCs w:val="24"/>
          <w:vertAlign w:val="superscript"/>
          <w:lang w:bidi="ar"/>
        </w:rPr>
        <w:t>1</w:t>
      </w:r>
      <w:r>
        <w:rPr>
          <w:rFonts w:hint="default" w:ascii="Times New Roman" w:hAnsi="Times New Roman" w:eastAsia="等线" w:cs="Times New Roman"/>
          <w:kern w:val="0"/>
          <w:sz w:val="24"/>
          <w:szCs w:val="24"/>
          <w:lang w:bidi="ar"/>
        </w:rPr>
        <w:t>College of Life Sciences, Henan Normal University, Xinxiang 453007, China</w:t>
      </w:r>
    </w:p>
    <w:p w14:paraId="438391EE">
      <w:pPr>
        <w:spacing w:line="360" w:lineRule="auto"/>
        <w:jc w:val="both"/>
        <w:rPr>
          <w:rFonts w:hint="default" w:ascii="Times New Roman" w:hAnsi="Times New Roman" w:eastAsia="等线" w:cs="Times New Roman"/>
          <w:kern w:val="0"/>
          <w:sz w:val="24"/>
          <w:szCs w:val="24"/>
          <w:lang w:bidi="ar"/>
        </w:rPr>
      </w:pPr>
    </w:p>
    <w:p w14:paraId="154CA050">
      <w:pPr>
        <w:spacing w:line="360" w:lineRule="auto"/>
        <w:jc w:val="both"/>
        <w:rPr>
          <w:rFonts w:hint="default" w:ascii="Times New Roman" w:hAnsi="Times New Roman" w:eastAsia="等线" w:cs="Times New Roman"/>
          <w:kern w:val="0"/>
          <w:sz w:val="24"/>
          <w:szCs w:val="24"/>
          <w:lang w:val="en-US" w:eastAsia="zh-CN" w:bidi="ar"/>
        </w:rPr>
      </w:pPr>
      <w:r>
        <w:rPr>
          <w:rFonts w:hint="default" w:ascii="Times New Roman" w:hAnsi="Times New Roman" w:eastAsia="等线" w:cs="Times New Roman"/>
          <w:kern w:val="0"/>
          <w:sz w:val="24"/>
          <w:szCs w:val="24"/>
          <w:vertAlign w:val="superscript"/>
          <w:lang w:val="en-US" w:eastAsia="zh-CN" w:bidi="ar"/>
        </w:rPr>
        <w:t>2</w:t>
      </w:r>
      <w:r>
        <w:rPr>
          <w:rFonts w:hint="default" w:ascii="Times New Roman" w:hAnsi="Times New Roman" w:eastAsia="等线" w:cs="Times New Roman"/>
          <w:kern w:val="0"/>
          <w:sz w:val="24"/>
          <w:szCs w:val="24"/>
          <w:lang w:val="en-US" w:eastAsia="zh-CN" w:bidi="ar"/>
        </w:rPr>
        <w:t>The Observation and Research Field Station of Taihang Mountain Forest Ecosystems of Henan Province, Xinxiang, Henan 453007, China</w:t>
      </w:r>
    </w:p>
    <w:p w14:paraId="2FC890D9">
      <w:pPr>
        <w:spacing w:line="360" w:lineRule="auto"/>
        <w:jc w:val="both"/>
        <w:rPr>
          <w:rFonts w:hint="default" w:ascii="Times New Roman" w:hAnsi="Times New Roman" w:eastAsia="等线" w:cs="Times New Roman"/>
          <w:kern w:val="0"/>
          <w:sz w:val="24"/>
          <w:szCs w:val="24"/>
          <w:lang w:val="en-US" w:eastAsia="zh-CN" w:bidi="ar"/>
        </w:rPr>
      </w:pPr>
    </w:p>
    <w:p w14:paraId="32970A0B">
      <w:pPr>
        <w:spacing w:line="360" w:lineRule="auto"/>
        <w:jc w:val="both"/>
        <w:rPr>
          <w:rFonts w:hint="default" w:ascii="Times New Roman" w:hAnsi="Times New Roman" w:eastAsia="等线" w:cs="Times New Roman"/>
          <w:kern w:val="0"/>
          <w:sz w:val="24"/>
          <w:szCs w:val="24"/>
          <w:lang w:val="en-US" w:eastAsia="zh-CN" w:bidi="ar"/>
        </w:rPr>
      </w:pPr>
      <w:r>
        <w:rPr>
          <w:rFonts w:hint="eastAsia" w:ascii="Times New Roman" w:hAnsi="Times New Roman" w:eastAsia="等线" w:cs="Times New Roman"/>
          <w:kern w:val="0"/>
          <w:sz w:val="24"/>
          <w:szCs w:val="24"/>
          <w:vertAlign w:val="superscript"/>
          <w:lang w:val="en-US" w:eastAsia="zh-CN" w:bidi="ar"/>
        </w:rPr>
        <w:t>3</w:t>
      </w:r>
      <w:r>
        <w:rPr>
          <w:rFonts w:hint="default" w:ascii="Times New Roman" w:hAnsi="Times New Roman" w:eastAsia="等线" w:cs="Times New Roman"/>
          <w:kern w:val="0"/>
          <w:sz w:val="24"/>
          <w:szCs w:val="24"/>
          <w:lang w:val="en-US" w:eastAsia="zh-CN" w:bidi="ar"/>
        </w:rPr>
        <w:t>Xinxiang Zhaofeng Agricultural Technology Co., Ltd., Xinxiang 453007, China</w:t>
      </w:r>
    </w:p>
    <w:p w14:paraId="08035A0D">
      <w:pPr>
        <w:spacing w:line="360" w:lineRule="auto"/>
        <w:jc w:val="both"/>
        <w:rPr>
          <w:rFonts w:hint="default" w:ascii="Times New Roman" w:hAnsi="Times New Roman" w:eastAsia="等线" w:cs="Times New Roman"/>
          <w:kern w:val="0"/>
          <w:sz w:val="24"/>
          <w:szCs w:val="24"/>
          <w:lang w:val="en-US" w:eastAsia="zh-CN" w:bidi="ar"/>
        </w:rPr>
      </w:pPr>
    </w:p>
    <w:p w14:paraId="156FB018">
      <w:pPr>
        <w:spacing w:line="360" w:lineRule="auto"/>
        <w:jc w:val="both"/>
        <w:rPr>
          <w:rFonts w:hint="default" w:ascii="Times New Roman" w:hAnsi="Times New Roman" w:eastAsia="等线" w:cs="Times New Roman"/>
          <w:kern w:val="0"/>
          <w:sz w:val="24"/>
          <w:szCs w:val="24"/>
          <w:lang w:bidi="ar"/>
        </w:rPr>
      </w:pPr>
      <w:r>
        <w:rPr>
          <w:rFonts w:hint="default" w:ascii="Times New Roman" w:hAnsi="Times New Roman" w:eastAsia="等线" w:cs="Times New Roman"/>
          <w:kern w:val="0"/>
          <w:sz w:val="24"/>
          <w:szCs w:val="24"/>
          <w:lang w:bidi="ar"/>
        </w:rPr>
        <w:t>*Corresponding author: Shu-Fen Li (lishufen@htu.cn)</w:t>
      </w:r>
    </w:p>
    <w:p w14:paraId="78FD853E">
      <w:pPr>
        <w:spacing w:line="360" w:lineRule="auto"/>
        <w:jc w:val="both"/>
        <w:rPr>
          <w:rFonts w:hint="default" w:ascii="Times New Roman" w:hAnsi="Times New Roman" w:cs="Times New Roman"/>
          <w:sz w:val="24"/>
          <w:szCs w:val="24"/>
        </w:rPr>
      </w:pPr>
      <w:r>
        <w:rPr>
          <w:rFonts w:hint="default" w:ascii="Times New Roman" w:hAnsi="Times New Roman" w:cs="Times New Roman"/>
          <w:sz w:val="24"/>
          <w:szCs w:val="24"/>
        </w:rPr>
        <w:br w:type="page"/>
      </w:r>
    </w:p>
    <w:p w14:paraId="4D67A3E1">
      <w:pPr>
        <w:spacing w:line="360" w:lineRule="auto"/>
        <w:jc w:val="center"/>
        <w:rPr>
          <w:rFonts w:ascii="TimesNewRomanPS-BoldMT" w:hAnsi="TimesNewRomanPS-BoldMT" w:eastAsia="等线"/>
          <w:b/>
          <w:bCs/>
          <w:sz w:val="24"/>
          <w:szCs w:val="24"/>
        </w:rPr>
      </w:pPr>
      <w:r>
        <w:rPr>
          <w:rFonts w:ascii="TimesNewRomanPS-BoldMT" w:hAnsi="TimesNewRomanPS-BoldMT" w:eastAsia="等线"/>
          <w:b/>
          <w:bCs/>
          <w:sz w:val="24"/>
          <w:szCs w:val="24"/>
        </w:rPr>
        <w:t>Table of Contents</w:t>
      </w:r>
    </w:p>
    <w:p w14:paraId="06A643AC">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S1</w:t>
      </w:r>
      <w:r>
        <w:rPr>
          <w:rFonts w:hint="default" w:ascii="Times New Roman" w:hAnsi="Times New Roman" w:cs="Times New Roman"/>
          <w:sz w:val="24"/>
          <w:szCs w:val="24"/>
        </w:rPr>
        <w:t xml:space="preserve"> </w:t>
      </w:r>
      <w:r>
        <w:rPr>
          <w:rStyle w:val="9"/>
          <w:rFonts w:hint="default" w:ascii="Times New Roman" w:hAnsi="Times New Roman" w:eastAsia="Segoe UI" w:cs="Times New Roman"/>
          <w:b w:val="0"/>
          <w:sz w:val="24"/>
          <w:szCs w:val="24"/>
          <w:shd w:val="clear" w:color="auto" w:fill="FFFFFF"/>
        </w:rPr>
        <w:t xml:space="preserve">Conidial </w:t>
      </w:r>
      <w:r>
        <w:rPr>
          <w:rStyle w:val="9"/>
          <w:rFonts w:hint="default" w:ascii="Times New Roman" w:hAnsi="Times New Roman" w:eastAsia="宋体" w:cs="Times New Roman"/>
          <w:b w:val="0"/>
          <w:sz w:val="24"/>
          <w:szCs w:val="24"/>
          <w:shd w:val="clear" w:color="auto" w:fill="FFFFFF"/>
        </w:rPr>
        <w:t>m</w:t>
      </w:r>
      <w:r>
        <w:rPr>
          <w:rStyle w:val="9"/>
          <w:rFonts w:hint="default" w:ascii="Times New Roman" w:hAnsi="Times New Roman" w:eastAsia="Segoe UI" w:cs="Times New Roman"/>
          <w:b w:val="0"/>
          <w:sz w:val="24"/>
          <w:szCs w:val="24"/>
          <w:shd w:val="clear" w:color="auto" w:fill="FFFFFF"/>
        </w:rPr>
        <w:t xml:space="preserve">orphology of </w:t>
      </w:r>
      <w:r>
        <w:rPr>
          <w:rStyle w:val="9"/>
          <w:rFonts w:hint="default" w:ascii="Times New Roman" w:hAnsi="Times New Roman" w:eastAsia="宋体" w:cs="Times New Roman"/>
          <w:b w:val="0"/>
          <w:sz w:val="24"/>
          <w:szCs w:val="24"/>
          <w:shd w:val="clear" w:color="auto" w:fill="FFFFFF"/>
        </w:rPr>
        <w:t>e</w:t>
      </w:r>
      <w:r>
        <w:rPr>
          <w:rStyle w:val="9"/>
          <w:rFonts w:hint="default" w:ascii="Times New Roman" w:hAnsi="Times New Roman" w:eastAsia="Segoe UI" w:cs="Times New Roman"/>
          <w:b w:val="0"/>
          <w:sz w:val="24"/>
          <w:szCs w:val="24"/>
          <w:shd w:val="clear" w:color="auto" w:fill="FFFFFF"/>
        </w:rPr>
        <w:t>ight</w:t>
      </w:r>
      <w:r>
        <w:rPr>
          <w:rStyle w:val="9"/>
          <w:rFonts w:hint="eastAsia" w:ascii="Times New Roman" w:hAnsi="Times New Roman" w:eastAsia="宋体" w:cs="Times New Roman"/>
          <w:b w:val="0"/>
          <w:sz w:val="24"/>
          <w:szCs w:val="24"/>
          <w:shd w:val="clear" w:color="auto" w:fill="FFFFFF"/>
          <w:lang w:val="en-US" w:eastAsia="zh-CN"/>
        </w:rPr>
        <w:t xml:space="preserve"> </w:t>
      </w:r>
      <w:r>
        <w:rPr>
          <w:rFonts w:hint="default" w:ascii="Times New Roman" w:hAnsi="Times New Roman" w:cs="Times New Roman"/>
          <w:i/>
          <w:iCs/>
          <w:sz w:val="24"/>
          <w:szCs w:val="24"/>
        </w:rPr>
        <w:t xml:space="preserve">P. asparagi </w:t>
      </w:r>
      <w:r>
        <w:rPr>
          <w:rFonts w:hint="default" w:ascii="Times New Roman" w:hAnsi="Times New Roman" w:cs="Times New Roman"/>
          <w:sz w:val="24"/>
          <w:szCs w:val="24"/>
        </w:rPr>
        <w:t>strains</w:t>
      </w:r>
      <w:r>
        <w:rPr>
          <w:rStyle w:val="9"/>
          <w:rFonts w:hint="default" w:ascii="Times New Roman" w:hAnsi="Times New Roman" w:eastAsia="Segoe UI" w:cs="Times New Roman"/>
          <w:b w:val="0"/>
          <w:sz w:val="24"/>
          <w:szCs w:val="24"/>
          <w:shd w:val="clear" w:color="auto" w:fill="FFFFFF"/>
        </w:rPr>
        <w:t xml:space="preserve"> from </w:t>
      </w:r>
      <w:r>
        <w:rPr>
          <w:rStyle w:val="9"/>
          <w:rFonts w:hint="default" w:ascii="Times New Roman" w:hAnsi="Times New Roman" w:eastAsia="宋体" w:cs="Times New Roman"/>
          <w:b w:val="0"/>
          <w:sz w:val="24"/>
          <w:szCs w:val="24"/>
          <w:shd w:val="clear" w:color="auto" w:fill="FFFFFF"/>
        </w:rPr>
        <w:t>d</w:t>
      </w:r>
      <w:r>
        <w:rPr>
          <w:rStyle w:val="9"/>
          <w:rFonts w:hint="default" w:ascii="Times New Roman" w:hAnsi="Times New Roman" w:eastAsia="Segoe UI" w:cs="Times New Roman"/>
          <w:b w:val="0"/>
          <w:sz w:val="24"/>
          <w:szCs w:val="24"/>
          <w:shd w:val="clear" w:color="auto" w:fill="FFFFFF"/>
        </w:rPr>
        <w:t>ifferent geographical</w:t>
      </w:r>
      <w:r>
        <w:rPr>
          <w:rStyle w:val="9"/>
          <w:rFonts w:hint="default" w:ascii="Times New Roman" w:hAnsi="Times New Roman" w:eastAsia="宋体" w:cs="Times New Roman"/>
          <w:b w:val="0"/>
          <w:sz w:val="24"/>
          <w:szCs w:val="24"/>
          <w:shd w:val="clear" w:color="auto" w:fill="FFFFFF"/>
        </w:rPr>
        <w:t xml:space="preserve"> r</w:t>
      </w:r>
      <w:r>
        <w:rPr>
          <w:rStyle w:val="9"/>
          <w:rFonts w:hint="default" w:ascii="Times New Roman" w:hAnsi="Times New Roman" w:eastAsia="Segoe UI" w:cs="Times New Roman"/>
          <w:b w:val="0"/>
          <w:sz w:val="24"/>
          <w:szCs w:val="24"/>
          <w:shd w:val="clear" w:color="auto" w:fill="FFFFFF"/>
        </w:rPr>
        <w:t>egions</w:t>
      </w:r>
      <w:r>
        <w:rPr>
          <w:rStyle w:val="9"/>
          <w:rFonts w:hint="default" w:ascii="Times New Roman" w:hAnsi="Times New Roman" w:eastAsia="宋体" w:cs="Times New Roman"/>
          <w:b w:val="0"/>
          <w:sz w:val="24"/>
          <w:szCs w:val="24"/>
          <w:shd w:val="clear" w:color="auto" w:fill="FFFFFF"/>
        </w:rPr>
        <w:t>.</w:t>
      </w:r>
    </w:p>
    <w:p w14:paraId="337ECEA3">
      <w:pPr>
        <w:spacing w:line="360" w:lineRule="auto"/>
        <w:rPr>
          <w:rStyle w:val="9"/>
          <w:rFonts w:hint="default" w:ascii="Times New Roman" w:hAnsi="Times New Roman" w:eastAsia="宋体" w:cs="Times New Roman"/>
          <w:b w:val="0"/>
          <w:sz w:val="24"/>
          <w:szCs w:val="24"/>
          <w:shd w:val="clear" w:color="auto" w:fill="FFFFFF"/>
        </w:rPr>
      </w:pPr>
      <w:r>
        <w:rPr>
          <w:rFonts w:hint="default" w:ascii="Times New Roman" w:hAnsi="Times New Roman" w:cs="Times New Roman"/>
          <w:b/>
          <w:bCs/>
          <w:sz w:val="24"/>
          <w:szCs w:val="24"/>
        </w:rPr>
        <w:t>Fig. S2</w:t>
      </w:r>
      <w:r>
        <w:rPr>
          <w:rFonts w:hint="default" w:ascii="Times New Roman" w:hAnsi="Times New Roman" w:cs="Times New Roman"/>
          <w:sz w:val="24"/>
          <w:szCs w:val="24"/>
        </w:rPr>
        <w:t xml:space="preserve"> </w:t>
      </w:r>
      <w:r>
        <w:rPr>
          <w:rStyle w:val="9"/>
          <w:rFonts w:hint="default" w:ascii="Times New Roman" w:hAnsi="Times New Roman" w:eastAsia="Segoe UI" w:cs="Times New Roman"/>
          <w:b w:val="0"/>
          <w:sz w:val="24"/>
          <w:szCs w:val="24"/>
          <w:shd w:val="clear" w:color="auto" w:fill="FFFFFF"/>
        </w:rPr>
        <w:t xml:space="preserve">Mycelial </w:t>
      </w:r>
      <w:r>
        <w:rPr>
          <w:rStyle w:val="9"/>
          <w:rFonts w:hint="default" w:ascii="Times New Roman" w:hAnsi="Times New Roman" w:eastAsia="宋体" w:cs="Times New Roman"/>
          <w:b w:val="0"/>
          <w:sz w:val="24"/>
          <w:szCs w:val="24"/>
          <w:shd w:val="clear" w:color="auto" w:fill="FFFFFF"/>
        </w:rPr>
        <w:t>m</w:t>
      </w:r>
      <w:r>
        <w:rPr>
          <w:rStyle w:val="9"/>
          <w:rFonts w:hint="default" w:ascii="Times New Roman" w:hAnsi="Times New Roman" w:eastAsia="Segoe UI" w:cs="Times New Roman"/>
          <w:b w:val="0"/>
          <w:sz w:val="24"/>
          <w:szCs w:val="24"/>
          <w:shd w:val="clear" w:color="auto" w:fill="FFFFFF"/>
        </w:rPr>
        <w:t xml:space="preserve">orphology of </w:t>
      </w:r>
      <w:r>
        <w:rPr>
          <w:rStyle w:val="9"/>
          <w:rFonts w:hint="default" w:ascii="Times New Roman" w:hAnsi="Times New Roman" w:eastAsia="宋体" w:cs="Times New Roman"/>
          <w:b w:val="0"/>
          <w:sz w:val="24"/>
          <w:szCs w:val="24"/>
          <w:shd w:val="clear" w:color="auto" w:fill="FFFFFF"/>
        </w:rPr>
        <w:t>e</w:t>
      </w:r>
      <w:r>
        <w:rPr>
          <w:rStyle w:val="9"/>
          <w:rFonts w:hint="default" w:ascii="Times New Roman" w:hAnsi="Times New Roman" w:eastAsia="Segoe UI" w:cs="Times New Roman"/>
          <w:b w:val="0"/>
          <w:sz w:val="24"/>
          <w:szCs w:val="24"/>
          <w:shd w:val="clear" w:color="auto" w:fill="FFFFFF"/>
        </w:rPr>
        <w:t>ight</w:t>
      </w:r>
      <w:r>
        <w:rPr>
          <w:rStyle w:val="9"/>
          <w:rFonts w:hint="eastAsia" w:ascii="Times New Roman" w:hAnsi="Times New Roman" w:eastAsia="宋体" w:cs="Times New Roman"/>
          <w:b w:val="0"/>
          <w:sz w:val="24"/>
          <w:szCs w:val="24"/>
          <w:shd w:val="clear" w:color="auto" w:fill="FFFFFF"/>
          <w:lang w:val="en-US" w:eastAsia="zh-CN"/>
        </w:rPr>
        <w:t xml:space="preserve"> </w:t>
      </w:r>
      <w:r>
        <w:rPr>
          <w:rFonts w:hint="default" w:ascii="Times New Roman" w:hAnsi="Times New Roman" w:cs="Times New Roman"/>
          <w:i/>
          <w:iCs/>
          <w:sz w:val="24"/>
          <w:szCs w:val="24"/>
        </w:rPr>
        <w:t xml:space="preserve">P. asparagi </w:t>
      </w:r>
      <w:r>
        <w:rPr>
          <w:rFonts w:hint="default" w:ascii="Times New Roman" w:hAnsi="Times New Roman" w:cs="Times New Roman"/>
          <w:sz w:val="24"/>
          <w:szCs w:val="24"/>
        </w:rPr>
        <w:t>strains</w:t>
      </w:r>
      <w:r>
        <w:rPr>
          <w:rStyle w:val="9"/>
          <w:rFonts w:hint="default" w:ascii="Times New Roman" w:hAnsi="Times New Roman" w:eastAsia="Segoe UI" w:cs="Times New Roman"/>
          <w:b w:val="0"/>
          <w:sz w:val="24"/>
          <w:szCs w:val="24"/>
          <w:shd w:val="clear" w:color="auto" w:fill="FFFFFF"/>
        </w:rPr>
        <w:t xml:space="preserve"> from </w:t>
      </w:r>
      <w:r>
        <w:rPr>
          <w:rStyle w:val="9"/>
          <w:rFonts w:hint="default" w:ascii="Times New Roman" w:hAnsi="Times New Roman" w:eastAsia="宋体" w:cs="Times New Roman"/>
          <w:b w:val="0"/>
          <w:sz w:val="24"/>
          <w:szCs w:val="24"/>
          <w:shd w:val="clear" w:color="auto" w:fill="FFFFFF"/>
        </w:rPr>
        <w:t>d</w:t>
      </w:r>
      <w:r>
        <w:rPr>
          <w:rStyle w:val="9"/>
          <w:rFonts w:hint="default" w:ascii="Times New Roman" w:hAnsi="Times New Roman" w:eastAsia="Segoe UI" w:cs="Times New Roman"/>
          <w:b w:val="0"/>
          <w:sz w:val="24"/>
          <w:szCs w:val="24"/>
          <w:shd w:val="clear" w:color="auto" w:fill="FFFFFF"/>
        </w:rPr>
        <w:t>ifferent geographical</w:t>
      </w:r>
      <w:r>
        <w:rPr>
          <w:rStyle w:val="9"/>
          <w:rFonts w:hint="default" w:ascii="Times New Roman" w:hAnsi="Times New Roman" w:eastAsia="宋体" w:cs="Times New Roman"/>
          <w:b w:val="0"/>
          <w:sz w:val="24"/>
          <w:szCs w:val="24"/>
          <w:shd w:val="clear" w:color="auto" w:fill="FFFFFF"/>
        </w:rPr>
        <w:t xml:space="preserve"> r</w:t>
      </w:r>
      <w:r>
        <w:rPr>
          <w:rStyle w:val="9"/>
          <w:rFonts w:hint="default" w:ascii="Times New Roman" w:hAnsi="Times New Roman" w:eastAsia="Segoe UI" w:cs="Times New Roman"/>
          <w:b w:val="0"/>
          <w:sz w:val="24"/>
          <w:szCs w:val="24"/>
          <w:shd w:val="clear" w:color="auto" w:fill="FFFFFF"/>
        </w:rPr>
        <w:t>egions</w:t>
      </w:r>
      <w:r>
        <w:rPr>
          <w:rStyle w:val="9"/>
          <w:rFonts w:hint="default" w:ascii="Times New Roman" w:hAnsi="Times New Roman" w:eastAsia="宋体" w:cs="Times New Roman"/>
          <w:b w:val="0"/>
          <w:sz w:val="24"/>
          <w:szCs w:val="24"/>
          <w:shd w:val="clear" w:color="auto" w:fill="FFFFFF"/>
        </w:rPr>
        <w:t>.</w:t>
      </w:r>
    </w:p>
    <w:p w14:paraId="22CA230D">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Fig. S3</w:t>
      </w:r>
      <w:r>
        <w:rPr>
          <w:rFonts w:hint="default" w:ascii="Times New Roman" w:hAnsi="Times New Roman" w:eastAsia="宋体" w:cs="Times New Roman"/>
          <w:sz w:val="24"/>
          <w:szCs w:val="24"/>
        </w:rPr>
        <w:t xml:space="preserve"> Kmer distribution map of </w:t>
      </w:r>
      <w:r>
        <w:rPr>
          <w:rFonts w:hint="default" w:ascii="Times New Roman" w:hAnsi="Times New Roman" w:eastAsia="宋体" w:cs="Times New Roman"/>
          <w:i/>
          <w:iCs/>
          <w:sz w:val="24"/>
          <w:szCs w:val="24"/>
        </w:rPr>
        <w:t>P. asparagi</w:t>
      </w:r>
      <w:r>
        <w:rPr>
          <w:rFonts w:hint="default" w:ascii="Times New Roman" w:hAnsi="Times New Roman" w:eastAsia="宋体" w:cs="Times New Roman"/>
          <w:sz w:val="24"/>
          <w:szCs w:val="24"/>
        </w:rPr>
        <w:t xml:space="preserve"> genome</w:t>
      </w:r>
    </w:p>
    <w:p w14:paraId="3FAF6969">
      <w:pPr>
        <w:spacing w:line="360" w:lineRule="auto"/>
        <w:rPr>
          <w:rStyle w:val="9"/>
          <w:rFonts w:hint="default" w:ascii="Times New Roman" w:hAnsi="Times New Roman" w:eastAsia="宋体" w:cs="Times New Roman"/>
          <w:b w:val="0"/>
          <w:sz w:val="24"/>
          <w:szCs w:val="24"/>
          <w:shd w:val="clear" w:color="auto" w:fill="FFFFFF"/>
        </w:rPr>
      </w:pPr>
      <w:r>
        <w:rPr>
          <w:rFonts w:hint="default" w:ascii="Times New Roman" w:hAnsi="Times New Roman" w:cs="Times New Roman"/>
          <w:b/>
          <w:bCs/>
          <w:sz w:val="24"/>
          <w:szCs w:val="24"/>
        </w:rPr>
        <w:t xml:space="preserve">Fig. S4 </w:t>
      </w:r>
      <w:r>
        <w:rPr>
          <w:rFonts w:hint="default" w:ascii="Times New Roman" w:hAnsi="Times New Roman" w:cs="Times New Roman"/>
          <w:sz w:val="24"/>
          <w:szCs w:val="24"/>
        </w:rPr>
        <w:t xml:space="preserve">Genome GC content and sequencing depth distribution map of the </w:t>
      </w:r>
      <w:r>
        <w:rPr>
          <w:rFonts w:hint="default" w:ascii="Times New Roman" w:hAnsi="Times New Roman" w:cs="Times New Roman"/>
          <w:i/>
          <w:iCs/>
          <w:sz w:val="24"/>
          <w:szCs w:val="24"/>
        </w:rPr>
        <w:t>P. asparagi</w:t>
      </w:r>
    </w:p>
    <w:p w14:paraId="476BCA1E">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S5</w:t>
      </w:r>
      <w:r>
        <w:rPr>
          <w:rFonts w:hint="default" w:ascii="Times New Roman" w:hAnsi="Times New Roman" w:cs="Times New Roman"/>
          <w:sz w:val="24"/>
          <w:szCs w:val="24"/>
        </w:rPr>
        <w:t xml:space="preserve"> Genome annotation and gene classification analysis.</w:t>
      </w:r>
    </w:p>
    <w:p w14:paraId="0D35CD19">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Fig. S6 </w:t>
      </w:r>
      <w:r>
        <w:rPr>
          <w:rFonts w:hint="default" w:ascii="Times New Roman" w:hAnsi="Times New Roman" w:cs="Times New Roman"/>
          <w:sz w:val="24"/>
          <w:szCs w:val="24"/>
        </w:rPr>
        <w:t>Functional annotation ananlysis of the whole genome of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strain. </w:t>
      </w:r>
    </w:p>
    <w:p w14:paraId="6409F6A5">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Fig. S7 </w:t>
      </w:r>
      <w:r>
        <w:rPr>
          <w:rFonts w:hint="default" w:ascii="Times New Roman" w:hAnsi="Times New Roman" w:cs="Times New Roman"/>
          <w:sz w:val="24"/>
          <w:szCs w:val="24"/>
        </w:rPr>
        <w:t>The classification of Eukaryotic Orthologous Groups (KOG) of the annotated unigenes.</w:t>
      </w:r>
    </w:p>
    <w:p w14:paraId="6D480B7A">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S8</w:t>
      </w:r>
      <w:r>
        <w:rPr>
          <w:rFonts w:hint="default" w:ascii="Times New Roman" w:hAnsi="Times New Roman" w:cs="Times New Roman"/>
          <w:sz w:val="24"/>
          <w:szCs w:val="24"/>
        </w:rPr>
        <w:t xml:space="preserve"> Functional annotation ananlysis of the whole genome of</w:t>
      </w:r>
      <w:r>
        <w:rPr>
          <w:rFonts w:hint="default" w:ascii="Times New Roman" w:hAnsi="Times New Roman" w:cs="Times New Roman"/>
          <w:i/>
          <w:iCs/>
          <w:sz w:val="24"/>
          <w:szCs w:val="24"/>
        </w:rPr>
        <w:t> P. asparagi </w:t>
      </w:r>
      <w:r>
        <w:rPr>
          <w:rFonts w:hint="default" w:ascii="Times New Roman" w:hAnsi="Times New Roman" w:cs="Times New Roman"/>
          <w:sz w:val="24"/>
          <w:szCs w:val="24"/>
        </w:rPr>
        <w:t xml:space="preserve">strain. </w:t>
      </w:r>
    </w:p>
    <w:p w14:paraId="6F0C0A29">
      <w:pPr>
        <w:pStyle w:val="13"/>
        <w:jc w:val="both"/>
        <w:rPr>
          <w:rFonts w:hint="default" w:ascii="Times New Roman" w:hAnsi="Times New Roman" w:cs="Times New Roman"/>
          <w:i/>
          <w:iCs/>
          <w:sz w:val="24"/>
          <w:szCs w:val="24"/>
        </w:rPr>
      </w:pPr>
      <w:r>
        <w:rPr>
          <w:rFonts w:hint="default" w:ascii="Times New Roman" w:hAnsi="Times New Roman" w:cs="Times New Roman"/>
          <w:b/>
          <w:bCs/>
          <w:sz w:val="24"/>
          <w:szCs w:val="24"/>
        </w:rPr>
        <w:t>Table S1</w:t>
      </w:r>
      <w:r>
        <w:rPr>
          <w:rFonts w:hint="default" w:ascii="Times New Roman" w:hAnsi="Times New Roman" w:cs="Times New Roman"/>
          <w:sz w:val="24"/>
          <w:szCs w:val="24"/>
        </w:rPr>
        <w:t xml:space="preserve">. Summary statistics of genome K-mer of </w:t>
      </w:r>
      <w:r>
        <w:rPr>
          <w:rFonts w:hint="default" w:ascii="Times New Roman" w:hAnsi="Times New Roman" w:cs="Times New Roman"/>
          <w:i/>
          <w:iCs/>
          <w:sz w:val="24"/>
          <w:szCs w:val="24"/>
        </w:rPr>
        <w:t>P. asparagi.</w:t>
      </w:r>
    </w:p>
    <w:p w14:paraId="3BEEC167">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 xml:space="preserve">Table S2. </w:t>
      </w:r>
      <w:r>
        <w:rPr>
          <w:rFonts w:hint="default" w:ascii="Times New Roman" w:hAnsi="Times New Roman" w:eastAsia="宋体" w:cs="Times New Roman"/>
          <w:sz w:val="24"/>
          <w:szCs w:val="24"/>
        </w:rPr>
        <w:t>HiC-Pro mapping results statistics.</w:t>
      </w:r>
    </w:p>
    <w:p w14:paraId="517E65A8">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Table S3</w:t>
      </w:r>
      <w:r>
        <w:rPr>
          <w:rFonts w:hint="default" w:ascii="Times New Roman" w:hAnsi="Times New Roman" w:eastAsia="宋体" w:cs="Times New Roman"/>
          <w:sz w:val="24"/>
          <w:szCs w:val="24"/>
        </w:rPr>
        <w:t>. Summary statistics of chromosome sequence distribution.</w:t>
      </w:r>
    </w:p>
    <w:p w14:paraId="790EC4AE">
      <w:pPr>
        <w:pStyle w:val="13"/>
        <w:jc w:val="both"/>
        <w:rPr>
          <w:rFonts w:hint="default" w:ascii="Times New Roman" w:hAnsi="Times New Roman" w:cs="Times New Roman"/>
          <w:i/>
          <w:iCs/>
          <w:sz w:val="24"/>
          <w:szCs w:val="24"/>
        </w:rPr>
      </w:pPr>
    </w:p>
    <w:p w14:paraId="469C4192">
      <w:pPr>
        <w:pStyle w:val="13"/>
        <w:jc w:val="both"/>
        <w:rPr>
          <w:rFonts w:hint="default" w:ascii="Times New Roman" w:hAnsi="Times New Roman" w:cs="Times New Roman"/>
          <w:sz w:val="24"/>
          <w:szCs w:val="24"/>
        </w:rPr>
      </w:pPr>
      <w:r>
        <w:rPr>
          <w:rFonts w:hint="default" w:ascii="Times New Roman" w:hAnsi="Times New Roman" w:cs="Times New Roman"/>
          <w:b/>
          <w:bCs/>
          <w:sz w:val="24"/>
          <w:szCs w:val="24"/>
        </w:rPr>
        <w:t>Table S4</w:t>
      </w:r>
      <w:r>
        <w:rPr>
          <w:rFonts w:hint="default" w:ascii="Times New Roman" w:hAnsi="Times New Roman" w:cs="Times New Roman"/>
          <w:sz w:val="24"/>
          <w:szCs w:val="24"/>
        </w:rPr>
        <w:t>. Statistics of alignment results of second-generation sequencing data.</w:t>
      </w:r>
    </w:p>
    <w:p w14:paraId="738C4957">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Table S5.</w:t>
      </w:r>
      <w:r>
        <w:rPr>
          <w:rFonts w:hint="default" w:ascii="Times New Roman" w:hAnsi="Times New Roman" w:eastAsia="宋体" w:cs="Times New Roman"/>
          <w:sz w:val="24"/>
          <w:szCs w:val="24"/>
        </w:rPr>
        <w:t xml:space="preserve"> BUSCO evaluation results of </w:t>
      </w:r>
      <w:r>
        <w:rPr>
          <w:rFonts w:hint="default" w:ascii="Times New Roman" w:hAnsi="Times New Roman" w:eastAsia="宋体" w:cs="Times New Roman"/>
          <w:i/>
          <w:iCs/>
          <w:sz w:val="24"/>
          <w:szCs w:val="24"/>
        </w:rPr>
        <w:t xml:space="preserve">P. asparagi </w:t>
      </w:r>
      <w:r>
        <w:rPr>
          <w:rFonts w:hint="default" w:ascii="Times New Roman" w:hAnsi="Times New Roman" w:eastAsia="宋体" w:cs="Times New Roman"/>
          <w:sz w:val="24"/>
          <w:szCs w:val="24"/>
        </w:rPr>
        <w:t>genome.</w:t>
      </w:r>
    </w:p>
    <w:p w14:paraId="67E67D7F">
      <w:pPr>
        <w:widowControl/>
        <w:spacing w:line="360" w:lineRule="auto"/>
        <w:textAlignment w:val="center"/>
        <w:rPr>
          <w:rFonts w:hint="default" w:ascii="Times New Roman" w:hAnsi="Times New Roman" w:cs="Times New Roman"/>
          <w:sz w:val="24"/>
          <w:szCs w:val="24"/>
        </w:rPr>
      </w:pPr>
      <w:r>
        <w:rPr>
          <w:rFonts w:hint="default" w:ascii="Times New Roman" w:hAnsi="Times New Roman" w:cs="Times New Roman"/>
          <w:b/>
          <w:bCs/>
          <w:sz w:val="24"/>
          <w:szCs w:val="24"/>
        </w:rPr>
        <w:t>Table S6</w:t>
      </w:r>
      <w:r>
        <w:rPr>
          <w:rFonts w:hint="default" w:ascii="Times New Roman" w:hAnsi="Times New Roman" w:cs="Times New Roman"/>
          <w:sz w:val="24"/>
          <w:szCs w:val="24"/>
        </w:rPr>
        <w:t>. Summary statistics of gene structure annotations in H. lupulus genome.</w:t>
      </w:r>
    </w:p>
    <w:p w14:paraId="10696AC0">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b/>
          <w:bCs/>
          <w:sz w:val="24"/>
          <w:szCs w:val="24"/>
        </w:rPr>
        <w:t>Table S7</w:t>
      </w:r>
      <w:r>
        <w:rPr>
          <w:rFonts w:hint="default" w:ascii="Times New Roman" w:hAnsi="Times New Roman" w:eastAsia="宋体" w:cs="Times New Roman"/>
          <w:sz w:val="24"/>
          <w:szCs w:val="24"/>
        </w:rPr>
        <w:t xml:space="preserve">. Summary statistics for repetitive element annotations in the </w:t>
      </w:r>
      <w:r>
        <w:rPr>
          <w:rFonts w:hint="default" w:ascii="Times New Roman" w:hAnsi="Times New Roman" w:eastAsia="宋体" w:cs="Times New Roman"/>
          <w:i/>
          <w:iCs/>
          <w:sz w:val="24"/>
          <w:szCs w:val="24"/>
        </w:rPr>
        <w:t>P. asparagi</w:t>
      </w:r>
      <w:r>
        <w:rPr>
          <w:rFonts w:hint="default" w:ascii="Times New Roman" w:hAnsi="Times New Roman" w:eastAsia="宋体" w:cs="Times New Roman"/>
          <w:sz w:val="24"/>
          <w:szCs w:val="24"/>
        </w:rPr>
        <w:t xml:space="preserve"> genome.</w:t>
      </w:r>
    </w:p>
    <w:p w14:paraId="3730F3A9">
      <w:pPr>
        <w:pStyle w:val="13"/>
        <w:jc w:val="both"/>
        <w:rPr>
          <w:rFonts w:hint="default" w:ascii="Times New Roman" w:hAnsi="Times New Roman" w:cs="Times New Roman"/>
          <w:sz w:val="24"/>
          <w:szCs w:val="24"/>
        </w:rPr>
      </w:pPr>
      <w:r>
        <w:rPr>
          <w:rFonts w:hint="default" w:ascii="Times New Roman" w:hAnsi="Times New Roman" w:cs="Times New Roman"/>
          <w:b/>
          <w:bCs/>
          <w:sz w:val="24"/>
          <w:szCs w:val="24"/>
        </w:rPr>
        <w:t>Table S8</w:t>
      </w:r>
      <w:r>
        <w:rPr>
          <w:rFonts w:hint="default" w:ascii="Times New Roman" w:hAnsi="Times New Roman" w:cs="Times New Roman"/>
          <w:sz w:val="24"/>
          <w:szCs w:val="24"/>
        </w:rPr>
        <w:t xml:space="preserve">. Non-coding RNA predicition results of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genome.</w:t>
      </w:r>
    </w:p>
    <w:p w14:paraId="6C005ECD">
      <w:pPr>
        <w:pStyle w:val="13"/>
        <w:jc w:val="both"/>
        <w:rPr>
          <w:rFonts w:hint="default" w:ascii="Times New Roman" w:hAnsi="Times New Roman" w:cs="Times New Roman"/>
          <w:sz w:val="24"/>
          <w:szCs w:val="24"/>
        </w:rPr>
      </w:pPr>
      <w:r>
        <w:rPr>
          <w:rFonts w:hint="default" w:ascii="Times New Roman" w:hAnsi="Times New Roman" w:cs="Times New Roman"/>
          <w:b/>
          <w:bCs/>
          <w:sz w:val="24"/>
          <w:szCs w:val="24"/>
        </w:rPr>
        <w:t>Table S9</w:t>
      </w:r>
      <w:r>
        <w:rPr>
          <w:rFonts w:hint="default" w:ascii="Times New Roman" w:hAnsi="Times New Roman" w:cs="Times New Roman"/>
          <w:sz w:val="24"/>
          <w:szCs w:val="24"/>
        </w:rPr>
        <w:t xml:space="preserve">. Predicted pseudogenes in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genome.</w:t>
      </w:r>
    </w:p>
    <w:p w14:paraId="1EB2D9D5">
      <w:pPr>
        <w:spacing w:line="360" w:lineRule="auto"/>
        <w:rPr>
          <w:rFonts w:hint="default" w:ascii="Times New Roman" w:hAnsi="Times New Roman" w:eastAsia="宋体" w:cs="Times New Roman"/>
          <w:sz w:val="24"/>
          <w:szCs w:val="24"/>
          <w:shd w:val="clear" w:color="auto" w:fill="FFFFFF"/>
        </w:rPr>
      </w:pPr>
      <w:r>
        <w:rPr>
          <w:rFonts w:hint="default" w:ascii="Times New Roman" w:hAnsi="Times New Roman" w:eastAsia="宋体" w:cs="Times New Roman"/>
          <w:b/>
          <w:bCs/>
          <w:sz w:val="24"/>
          <w:szCs w:val="24"/>
        </w:rPr>
        <w:t>Table S10.</w:t>
      </w:r>
      <w:r>
        <w:rPr>
          <w:rFonts w:hint="default" w:ascii="Times New Roman" w:hAnsi="Times New Roman" w:eastAsia="宋体" w:cs="Times New Roman"/>
          <w:sz w:val="24"/>
          <w:szCs w:val="24"/>
        </w:rPr>
        <w:t xml:space="preserve"> Statistics of apping alignment results for </w:t>
      </w:r>
      <w:r>
        <w:rPr>
          <w:rFonts w:hint="default" w:ascii="Times New Roman" w:hAnsi="Times New Roman" w:eastAsia="宋体" w:cs="Times New Roman"/>
          <w:i/>
          <w:iCs/>
          <w:sz w:val="24"/>
          <w:szCs w:val="24"/>
        </w:rPr>
        <w:t xml:space="preserve">P. asparagi </w:t>
      </w:r>
      <w:r>
        <w:rPr>
          <w:rFonts w:hint="default" w:ascii="Times New Roman" w:hAnsi="Times New Roman" w:eastAsia="宋体" w:cs="Times New Roman"/>
          <w:sz w:val="24"/>
          <w:szCs w:val="24"/>
        </w:rPr>
        <w:t>isolate.</w:t>
      </w:r>
      <w:r>
        <w:rPr>
          <w:rFonts w:hint="default" w:ascii="Times New Roman" w:hAnsi="Times New Roman" w:eastAsia="宋体" w:cs="Times New Roman"/>
          <w:sz w:val="24"/>
          <w:szCs w:val="24"/>
          <w:shd w:val="clear" w:color="auto" w:fill="FFFFFF"/>
        </w:rPr>
        <w:br w:type="page"/>
      </w:r>
    </w:p>
    <w:p w14:paraId="4E5B86BC">
      <w:pPr>
        <w:spacing w:line="360" w:lineRule="auto"/>
        <w:jc w:val="left"/>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192395" cy="4179570"/>
            <wp:effectExtent l="0" t="0" r="8255" b="11430"/>
            <wp:docPr id="23" name="图片 23" descr="菌丝 全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菌丝 全部"/>
                    <pic:cNvPicPr>
                      <a:picLocks noChangeAspect="1"/>
                    </pic:cNvPicPr>
                  </pic:nvPicPr>
                  <pic:blipFill>
                    <a:blip r:embed="rId4"/>
                    <a:stretch>
                      <a:fillRect/>
                    </a:stretch>
                  </pic:blipFill>
                  <pic:spPr>
                    <a:xfrm>
                      <a:off x="0" y="0"/>
                      <a:ext cx="5192395" cy="4179570"/>
                    </a:xfrm>
                    <a:prstGeom prst="rect">
                      <a:avLst/>
                    </a:prstGeom>
                  </pic:spPr>
                </pic:pic>
              </a:graphicData>
            </a:graphic>
          </wp:inline>
        </w:drawing>
      </w:r>
    </w:p>
    <w:p w14:paraId="284CC9A4">
      <w:pPr>
        <w:spacing w:line="360" w:lineRule="auto"/>
        <w:jc w:val="left"/>
        <w:rPr>
          <w:rFonts w:hint="default" w:ascii="Times New Roman" w:hAnsi="Times New Roman" w:cs="Times New Roman"/>
          <w:sz w:val="24"/>
          <w:szCs w:val="24"/>
        </w:rPr>
      </w:pPr>
      <w:r>
        <w:rPr>
          <w:rFonts w:hint="default" w:ascii="Times New Roman" w:hAnsi="Times New Roman" w:cs="Times New Roman"/>
          <w:b/>
          <w:bCs/>
          <w:sz w:val="24"/>
          <w:szCs w:val="24"/>
        </w:rPr>
        <w:t>Fig. S1</w:t>
      </w:r>
      <w:r>
        <w:rPr>
          <w:rFonts w:hint="default" w:ascii="Times New Roman" w:hAnsi="Times New Roman" w:cs="Times New Roman"/>
          <w:sz w:val="24"/>
          <w:szCs w:val="24"/>
        </w:rPr>
        <w:t xml:space="preserve"> </w:t>
      </w:r>
      <w:r>
        <w:rPr>
          <w:rStyle w:val="9"/>
          <w:rFonts w:hint="default" w:ascii="Times New Roman" w:hAnsi="Times New Roman" w:eastAsia="Segoe UI" w:cs="Times New Roman"/>
          <w:b w:val="0"/>
          <w:sz w:val="24"/>
          <w:szCs w:val="24"/>
          <w:shd w:val="clear" w:color="auto" w:fill="FFFFFF"/>
        </w:rPr>
        <w:t xml:space="preserve">Mycelial </w:t>
      </w:r>
      <w:r>
        <w:rPr>
          <w:rStyle w:val="9"/>
          <w:rFonts w:hint="default" w:ascii="Times New Roman" w:hAnsi="Times New Roman" w:eastAsia="宋体" w:cs="Times New Roman"/>
          <w:b w:val="0"/>
          <w:sz w:val="24"/>
          <w:szCs w:val="24"/>
          <w:shd w:val="clear" w:color="auto" w:fill="FFFFFF"/>
        </w:rPr>
        <w:t>m</w:t>
      </w:r>
      <w:r>
        <w:rPr>
          <w:rStyle w:val="9"/>
          <w:rFonts w:hint="default" w:ascii="Times New Roman" w:hAnsi="Times New Roman" w:eastAsia="Segoe UI" w:cs="Times New Roman"/>
          <w:b w:val="0"/>
          <w:sz w:val="24"/>
          <w:szCs w:val="24"/>
          <w:shd w:val="clear" w:color="auto" w:fill="FFFFFF"/>
        </w:rPr>
        <w:t xml:space="preserve">orphology of </w:t>
      </w:r>
      <w:r>
        <w:rPr>
          <w:rStyle w:val="9"/>
          <w:rFonts w:hint="default" w:ascii="Times New Roman" w:hAnsi="Times New Roman" w:eastAsia="宋体" w:cs="Times New Roman"/>
          <w:b w:val="0"/>
          <w:sz w:val="24"/>
          <w:szCs w:val="24"/>
          <w:shd w:val="clear" w:color="auto" w:fill="FFFFFF"/>
        </w:rPr>
        <w:t>e</w:t>
      </w:r>
      <w:r>
        <w:rPr>
          <w:rStyle w:val="9"/>
          <w:rFonts w:hint="default" w:ascii="Times New Roman" w:hAnsi="Times New Roman" w:eastAsia="Segoe UI" w:cs="Times New Roman"/>
          <w:b w:val="0"/>
          <w:sz w:val="24"/>
          <w:szCs w:val="24"/>
          <w:shd w:val="clear" w:color="auto" w:fill="FFFFFF"/>
        </w:rPr>
        <w:t>ight </w:t>
      </w:r>
      <w:r>
        <w:rPr>
          <w:rFonts w:hint="default" w:ascii="Times New Roman" w:hAnsi="Times New Roman" w:cs="Times New Roman"/>
          <w:i/>
          <w:iCs/>
          <w:sz w:val="24"/>
          <w:szCs w:val="24"/>
        </w:rPr>
        <w:t xml:space="preserve">P. asparagi </w:t>
      </w:r>
      <w:r>
        <w:rPr>
          <w:rFonts w:hint="default" w:ascii="Times New Roman" w:hAnsi="Times New Roman" w:cs="Times New Roman"/>
          <w:sz w:val="24"/>
          <w:szCs w:val="24"/>
        </w:rPr>
        <w:t>strains</w:t>
      </w:r>
      <w:r>
        <w:rPr>
          <w:rStyle w:val="9"/>
          <w:rFonts w:hint="default" w:ascii="Times New Roman" w:hAnsi="Times New Roman" w:eastAsia="Segoe UI" w:cs="Times New Roman"/>
          <w:b w:val="0"/>
          <w:sz w:val="24"/>
          <w:szCs w:val="24"/>
          <w:shd w:val="clear" w:color="auto" w:fill="FFFFFF"/>
        </w:rPr>
        <w:t xml:space="preserve"> from </w:t>
      </w:r>
      <w:r>
        <w:rPr>
          <w:rStyle w:val="9"/>
          <w:rFonts w:hint="default" w:ascii="Times New Roman" w:hAnsi="Times New Roman" w:eastAsia="宋体" w:cs="Times New Roman"/>
          <w:b w:val="0"/>
          <w:sz w:val="24"/>
          <w:szCs w:val="24"/>
          <w:shd w:val="clear" w:color="auto" w:fill="FFFFFF"/>
        </w:rPr>
        <w:t>d</w:t>
      </w:r>
      <w:r>
        <w:rPr>
          <w:rStyle w:val="9"/>
          <w:rFonts w:hint="default" w:ascii="Times New Roman" w:hAnsi="Times New Roman" w:eastAsia="Segoe UI" w:cs="Times New Roman"/>
          <w:b w:val="0"/>
          <w:sz w:val="24"/>
          <w:szCs w:val="24"/>
          <w:shd w:val="clear" w:color="auto" w:fill="FFFFFF"/>
        </w:rPr>
        <w:t>ifferent geographical</w:t>
      </w:r>
      <w:r>
        <w:rPr>
          <w:rStyle w:val="9"/>
          <w:rFonts w:hint="default" w:ascii="Times New Roman" w:hAnsi="Times New Roman" w:eastAsia="宋体" w:cs="Times New Roman"/>
          <w:b w:val="0"/>
          <w:sz w:val="24"/>
          <w:szCs w:val="24"/>
          <w:shd w:val="clear" w:color="auto" w:fill="FFFFFF"/>
        </w:rPr>
        <w:t xml:space="preserve"> r</w:t>
      </w:r>
      <w:r>
        <w:rPr>
          <w:rStyle w:val="9"/>
          <w:rFonts w:hint="default" w:ascii="Times New Roman" w:hAnsi="Times New Roman" w:eastAsia="Segoe UI" w:cs="Times New Roman"/>
          <w:b w:val="0"/>
          <w:sz w:val="24"/>
          <w:szCs w:val="24"/>
          <w:shd w:val="clear" w:color="auto" w:fill="FFFFFF"/>
        </w:rPr>
        <w:t>egions</w:t>
      </w:r>
      <w:r>
        <w:rPr>
          <w:rStyle w:val="9"/>
          <w:rFonts w:hint="default" w:ascii="Times New Roman" w:hAnsi="Times New Roman" w:eastAsia="宋体" w:cs="Times New Roman"/>
          <w:b w:val="0"/>
          <w:sz w:val="24"/>
          <w:szCs w:val="24"/>
          <w:shd w:val="clear" w:color="auto" w:fill="FFFFFF"/>
        </w:rPr>
        <w:t>.</w:t>
      </w:r>
      <w:r>
        <w:rPr>
          <w:rFonts w:hint="default" w:ascii="Times New Roman" w:hAnsi="Times New Roman" w:cs="Times New Roman"/>
          <w:sz w:val="24"/>
          <w:szCs w:val="24"/>
        </w:rPr>
        <w:br w:type="page"/>
      </w:r>
    </w:p>
    <w:p w14:paraId="24E06F46">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996815" cy="3915410"/>
            <wp:effectExtent l="0" t="0" r="13335" b="8890"/>
            <wp:docPr id="14" name="图片 14" descr="孢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孢子"/>
                    <pic:cNvPicPr>
                      <a:picLocks noChangeAspect="1"/>
                    </pic:cNvPicPr>
                  </pic:nvPicPr>
                  <pic:blipFill>
                    <a:blip r:embed="rId5"/>
                    <a:srcRect l="5072" t="2215" r="11866" b="5741"/>
                    <a:stretch>
                      <a:fillRect/>
                    </a:stretch>
                  </pic:blipFill>
                  <pic:spPr>
                    <a:xfrm>
                      <a:off x="0" y="0"/>
                      <a:ext cx="4996815" cy="3915410"/>
                    </a:xfrm>
                    <a:prstGeom prst="rect">
                      <a:avLst/>
                    </a:prstGeom>
                  </pic:spPr>
                </pic:pic>
              </a:graphicData>
            </a:graphic>
          </wp:inline>
        </w:drawing>
      </w:r>
    </w:p>
    <w:p w14:paraId="511989F9">
      <w:pPr>
        <w:spacing w:line="360" w:lineRule="auto"/>
        <w:rPr>
          <w:rStyle w:val="9"/>
          <w:rFonts w:hint="default" w:ascii="Times New Roman" w:hAnsi="Times New Roman" w:eastAsia="宋体" w:cs="Times New Roman"/>
          <w:b w:val="0"/>
          <w:sz w:val="24"/>
          <w:szCs w:val="24"/>
          <w:shd w:val="clear" w:color="auto" w:fill="FFFFFF"/>
        </w:rPr>
      </w:pPr>
      <w:r>
        <w:rPr>
          <w:rFonts w:hint="default" w:ascii="Times New Roman" w:hAnsi="Times New Roman" w:cs="Times New Roman"/>
          <w:b/>
          <w:bCs/>
          <w:sz w:val="24"/>
          <w:szCs w:val="24"/>
        </w:rPr>
        <w:t xml:space="preserve">Fig. S2 </w:t>
      </w:r>
      <w:r>
        <w:rPr>
          <w:rStyle w:val="9"/>
          <w:rFonts w:hint="default" w:ascii="Times New Roman" w:hAnsi="Times New Roman" w:eastAsia="Segoe UI" w:cs="Times New Roman"/>
          <w:b w:val="0"/>
          <w:sz w:val="24"/>
          <w:szCs w:val="24"/>
          <w:shd w:val="clear" w:color="auto" w:fill="FFFFFF"/>
        </w:rPr>
        <w:t xml:space="preserve">Conidial </w:t>
      </w:r>
      <w:r>
        <w:rPr>
          <w:rStyle w:val="9"/>
          <w:rFonts w:hint="default" w:ascii="Times New Roman" w:hAnsi="Times New Roman" w:eastAsia="宋体" w:cs="Times New Roman"/>
          <w:b w:val="0"/>
          <w:sz w:val="24"/>
          <w:szCs w:val="24"/>
          <w:shd w:val="clear" w:color="auto" w:fill="FFFFFF"/>
        </w:rPr>
        <w:t>m</w:t>
      </w:r>
      <w:r>
        <w:rPr>
          <w:rStyle w:val="9"/>
          <w:rFonts w:hint="default" w:ascii="Times New Roman" w:hAnsi="Times New Roman" w:eastAsia="Segoe UI" w:cs="Times New Roman"/>
          <w:b w:val="0"/>
          <w:sz w:val="24"/>
          <w:szCs w:val="24"/>
          <w:shd w:val="clear" w:color="auto" w:fill="FFFFFF"/>
        </w:rPr>
        <w:t xml:space="preserve">orphology of </w:t>
      </w:r>
      <w:r>
        <w:rPr>
          <w:rStyle w:val="9"/>
          <w:rFonts w:hint="default" w:ascii="Times New Roman" w:hAnsi="Times New Roman" w:eastAsia="宋体" w:cs="Times New Roman"/>
          <w:b w:val="0"/>
          <w:sz w:val="24"/>
          <w:szCs w:val="24"/>
          <w:shd w:val="clear" w:color="auto" w:fill="FFFFFF"/>
        </w:rPr>
        <w:t>e</w:t>
      </w:r>
      <w:r>
        <w:rPr>
          <w:rStyle w:val="9"/>
          <w:rFonts w:hint="default" w:ascii="Times New Roman" w:hAnsi="Times New Roman" w:eastAsia="Segoe UI" w:cs="Times New Roman"/>
          <w:b w:val="0"/>
          <w:sz w:val="24"/>
          <w:szCs w:val="24"/>
          <w:shd w:val="clear" w:color="auto" w:fill="FFFFFF"/>
        </w:rPr>
        <w:t>ight </w:t>
      </w:r>
      <w:r>
        <w:rPr>
          <w:rFonts w:hint="default" w:ascii="Times New Roman" w:hAnsi="Times New Roman" w:cs="Times New Roman"/>
          <w:i/>
          <w:iCs/>
          <w:sz w:val="24"/>
          <w:szCs w:val="24"/>
        </w:rPr>
        <w:t xml:space="preserve">P. asparagi </w:t>
      </w:r>
      <w:r>
        <w:rPr>
          <w:rFonts w:hint="default" w:ascii="Times New Roman" w:hAnsi="Times New Roman" w:cs="Times New Roman"/>
          <w:sz w:val="24"/>
          <w:szCs w:val="24"/>
        </w:rPr>
        <w:t>strains</w:t>
      </w:r>
      <w:r>
        <w:rPr>
          <w:rStyle w:val="9"/>
          <w:rFonts w:hint="default" w:ascii="Times New Roman" w:hAnsi="Times New Roman" w:eastAsia="Segoe UI" w:cs="Times New Roman"/>
          <w:b w:val="0"/>
          <w:sz w:val="24"/>
          <w:szCs w:val="24"/>
          <w:shd w:val="clear" w:color="auto" w:fill="FFFFFF"/>
        </w:rPr>
        <w:t xml:space="preserve"> from </w:t>
      </w:r>
      <w:r>
        <w:rPr>
          <w:rStyle w:val="9"/>
          <w:rFonts w:hint="default" w:ascii="Times New Roman" w:hAnsi="Times New Roman" w:eastAsia="宋体" w:cs="Times New Roman"/>
          <w:b w:val="0"/>
          <w:sz w:val="24"/>
          <w:szCs w:val="24"/>
          <w:shd w:val="clear" w:color="auto" w:fill="FFFFFF"/>
        </w:rPr>
        <w:t>d</w:t>
      </w:r>
      <w:r>
        <w:rPr>
          <w:rStyle w:val="9"/>
          <w:rFonts w:hint="default" w:ascii="Times New Roman" w:hAnsi="Times New Roman" w:eastAsia="Segoe UI" w:cs="Times New Roman"/>
          <w:b w:val="0"/>
          <w:sz w:val="24"/>
          <w:szCs w:val="24"/>
          <w:shd w:val="clear" w:color="auto" w:fill="FFFFFF"/>
        </w:rPr>
        <w:t>ifferent geographical</w:t>
      </w:r>
      <w:r>
        <w:rPr>
          <w:rStyle w:val="9"/>
          <w:rFonts w:hint="default" w:ascii="Times New Roman" w:hAnsi="Times New Roman" w:eastAsia="宋体" w:cs="Times New Roman"/>
          <w:b w:val="0"/>
          <w:sz w:val="24"/>
          <w:szCs w:val="24"/>
          <w:shd w:val="clear" w:color="auto" w:fill="FFFFFF"/>
        </w:rPr>
        <w:t xml:space="preserve"> r</w:t>
      </w:r>
      <w:r>
        <w:rPr>
          <w:rStyle w:val="9"/>
          <w:rFonts w:hint="default" w:ascii="Times New Roman" w:hAnsi="Times New Roman" w:eastAsia="Segoe UI" w:cs="Times New Roman"/>
          <w:b w:val="0"/>
          <w:sz w:val="24"/>
          <w:szCs w:val="24"/>
          <w:shd w:val="clear" w:color="auto" w:fill="FFFFFF"/>
        </w:rPr>
        <w:t>egions</w:t>
      </w:r>
      <w:r>
        <w:rPr>
          <w:rStyle w:val="9"/>
          <w:rFonts w:hint="default" w:ascii="Times New Roman" w:hAnsi="Times New Roman" w:eastAsia="宋体" w:cs="Times New Roman"/>
          <w:b w:val="0"/>
          <w:sz w:val="24"/>
          <w:szCs w:val="24"/>
          <w:shd w:val="clear" w:color="auto" w:fill="FFFFFF"/>
        </w:rPr>
        <w:t>.</w:t>
      </w:r>
    </w:p>
    <w:p w14:paraId="5BCF027A">
      <w:pPr>
        <w:spacing w:line="360" w:lineRule="auto"/>
        <w:rPr>
          <w:rStyle w:val="9"/>
          <w:rFonts w:hint="default" w:ascii="Times New Roman" w:hAnsi="Times New Roman" w:eastAsia="宋体" w:cs="Times New Roman"/>
          <w:b w:val="0"/>
          <w:sz w:val="24"/>
          <w:szCs w:val="24"/>
          <w:shd w:val="clear" w:color="auto" w:fill="FFFFFF"/>
        </w:rPr>
      </w:pPr>
    </w:p>
    <w:p w14:paraId="2F9EE72D">
      <w:pPr>
        <w:spacing w:line="360" w:lineRule="auto"/>
        <w:rPr>
          <w:rStyle w:val="9"/>
          <w:rFonts w:hint="default" w:ascii="Times New Roman" w:hAnsi="Times New Roman" w:eastAsia="宋体" w:cs="Times New Roman"/>
          <w:b w:val="0"/>
          <w:sz w:val="24"/>
          <w:szCs w:val="24"/>
          <w:shd w:val="clear" w:color="auto" w:fill="FFFFFF"/>
        </w:rPr>
      </w:pPr>
    </w:p>
    <w:p w14:paraId="7E176F8D">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drawing>
          <wp:inline distT="0" distB="0" distL="0" distR="0">
            <wp:extent cx="3225800" cy="2419350"/>
            <wp:effectExtent l="0" t="0" r="12700" b="0"/>
            <wp:docPr id="128697090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970907" name="图片 7"/>
                    <pic:cNvPicPr>
                      <a:picLocks noChangeAspect="1"/>
                    </pic:cNvPicPr>
                  </pic:nvPicPr>
                  <pic:blipFill>
                    <a:blip r:embed="rId6" cstate="print"/>
                    <a:stretch>
                      <a:fillRect/>
                    </a:stretch>
                  </pic:blipFill>
                  <pic:spPr>
                    <a:xfrm>
                      <a:off x="0" y="0"/>
                      <a:ext cx="3258575" cy="2444128"/>
                    </a:xfrm>
                    <a:prstGeom prst="rect">
                      <a:avLst/>
                    </a:prstGeom>
                  </pic:spPr>
                </pic:pic>
              </a:graphicData>
            </a:graphic>
          </wp:inline>
        </w:drawing>
      </w:r>
    </w:p>
    <w:p w14:paraId="641F7BFE">
      <w:pPr>
        <w:spacing w:line="360" w:lineRule="auto"/>
        <w:jc w:val="center"/>
        <w:rPr>
          <w:rFonts w:hint="default" w:ascii="Times New Roman" w:hAnsi="Times New Roman" w:cs="Times New Roman"/>
          <w:sz w:val="24"/>
          <w:szCs w:val="24"/>
        </w:rPr>
      </w:pPr>
      <w:bookmarkStart w:id="0" w:name="_Hlk201767144"/>
      <w:r>
        <w:rPr>
          <w:rFonts w:hint="default" w:ascii="Times New Roman" w:hAnsi="Times New Roman" w:eastAsia="宋体" w:cs="Times New Roman"/>
          <w:b/>
          <w:bCs/>
          <w:sz w:val="24"/>
          <w:szCs w:val="24"/>
        </w:rPr>
        <w:t>Fig</w:t>
      </w:r>
      <w:bookmarkEnd w:id="0"/>
      <w:r>
        <w:rPr>
          <w:rFonts w:hint="default" w:ascii="Times New Roman" w:hAnsi="Times New Roman" w:eastAsia="宋体" w:cs="Times New Roman"/>
          <w:b/>
          <w:bCs/>
          <w:sz w:val="24"/>
          <w:szCs w:val="24"/>
        </w:rPr>
        <w:t>. S3</w:t>
      </w:r>
      <w:r>
        <w:rPr>
          <w:rFonts w:hint="default" w:ascii="Times New Roman" w:hAnsi="Times New Roman" w:eastAsia="宋体" w:cs="Times New Roman"/>
          <w:sz w:val="24"/>
          <w:szCs w:val="24"/>
        </w:rPr>
        <w:t xml:space="preserve"> Kmer distribution map of </w:t>
      </w:r>
      <w:bookmarkStart w:id="1" w:name="_Hlk202431182"/>
      <w:r>
        <w:rPr>
          <w:rFonts w:hint="default" w:ascii="Times New Roman" w:hAnsi="Times New Roman" w:eastAsia="宋体" w:cs="Times New Roman"/>
          <w:i/>
          <w:iCs/>
          <w:sz w:val="24"/>
          <w:szCs w:val="24"/>
        </w:rPr>
        <w:t>P. asparagi</w:t>
      </w:r>
      <w:bookmarkEnd w:id="1"/>
      <w:r>
        <w:rPr>
          <w:rFonts w:hint="default" w:ascii="Times New Roman" w:hAnsi="Times New Roman" w:eastAsia="宋体" w:cs="Times New Roman"/>
          <w:sz w:val="24"/>
          <w:szCs w:val="24"/>
        </w:rPr>
        <w:t xml:space="preserve"> genome</w:t>
      </w:r>
      <w:r>
        <w:rPr>
          <w:rFonts w:hint="default" w:ascii="Times New Roman" w:hAnsi="Times New Roman" w:cs="Times New Roman"/>
          <w:sz w:val="24"/>
          <w:szCs w:val="24"/>
        </w:rPr>
        <w:br w:type="page"/>
      </w:r>
    </w:p>
    <w:p w14:paraId="26E49E36">
      <w:pPr>
        <w:rPr>
          <w:rFonts w:hint="default" w:ascii="Times New Roman" w:hAnsi="Times New Roman" w:cs="Times New Roman"/>
          <w:sz w:val="24"/>
          <w:szCs w:val="24"/>
        </w:rPr>
      </w:pPr>
      <w:r>
        <w:rPr>
          <w:rFonts w:hint="default" w:ascii="Times New Roman" w:hAnsi="Times New Roman" w:eastAsia="宋体" w:cs="Times New Roman"/>
          <w:sz w:val="24"/>
          <w:szCs w:val="24"/>
        </w:rPr>
        <w:drawing>
          <wp:anchor distT="0" distB="0" distL="114300" distR="114300" simplePos="0" relativeHeight="251659264" behindDoc="0" locked="0" layoutInCell="1" allowOverlap="1">
            <wp:simplePos x="0" y="0"/>
            <wp:positionH relativeFrom="margin">
              <wp:align>center</wp:align>
            </wp:positionH>
            <wp:positionV relativeFrom="paragraph">
              <wp:posOffset>316230</wp:posOffset>
            </wp:positionV>
            <wp:extent cx="2731135" cy="2731135"/>
            <wp:effectExtent l="0" t="0" r="12065" b="12065"/>
            <wp:wrapTopAndBottom/>
            <wp:docPr id="85420758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4207580" name="图片 1"/>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2731135" cy="2731135"/>
                    </a:xfrm>
                    <a:prstGeom prst="rect">
                      <a:avLst/>
                    </a:prstGeom>
                  </pic:spPr>
                </pic:pic>
              </a:graphicData>
            </a:graphic>
          </wp:anchor>
        </w:drawing>
      </w:r>
    </w:p>
    <w:p w14:paraId="2B96366A">
      <w:pPr>
        <w:spacing w:line="360" w:lineRule="auto"/>
        <w:rPr>
          <w:rFonts w:hint="default" w:ascii="Times New Roman" w:hAnsi="Times New Roman" w:cs="Times New Roman"/>
          <w:i/>
          <w:iCs/>
          <w:sz w:val="24"/>
          <w:szCs w:val="24"/>
        </w:rPr>
      </w:pPr>
      <w:r>
        <w:rPr>
          <w:rFonts w:hint="default" w:ascii="Times New Roman" w:hAnsi="Times New Roman" w:cs="Times New Roman"/>
          <w:b/>
          <w:bCs/>
          <w:sz w:val="24"/>
          <w:szCs w:val="24"/>
        </w:rPr>
        <w:t xml:space="preserve">Fig. S4 </w:t>
      </w:r>
      <w:r>
        <w:rPr>
          <w:rFonts w:hint="default" w:ascii="Times New Roman" w:hAnsi="Times New Roman" w:cs="Times New Roman"/>
          <w:sz w:val="24"/>
          <w:szCs w:val="24"/>
        </w:rPr>
        <w:t xml:space="preserve">Genome GC content and sequencing depth distribution map of </w:t>
      </w:r>
      <w:r>
        <w:rPr>
          <w:rFonts w:hint="default" w:ascii="Times New Roman" w:hAnsi="Times New Roman" w:cs="Times New Roman"/>
          <w:i/>
          <w:iCs/>
          <w:sz w:val="24"/>
          <w:szCs w:val="24"/>
        </w:rPr>
        <w:t>P. asparagi.</w:t>
      </w:r>
      <w:r>
        <w:rPr>
          <w:rFonts w:hint="default" w:ascii="Times New Roman" w:hAnsi="Times New Roman" w:cs="Times New Roman"/>
          <w:i/>
          <w:iCs/>
          <w:sz w:val="24"/>
          <w:szCs w:val="24"/>
        </w:rPr>
        <w:br w:type="page"/>
      </w:r>
    </w:p>
    <w:p w14:paraId="3CB24E35">
      <w:pPr>
        <w:spacing w:line="360" w:lineRule="auto"/>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818505" cy="4435475"/>
            <wp:effectExtent l="0" t="0" r="10795" b="3175"/>
            <wp:docPr id="86154290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542901" name="图片 2"/>
                    <pic:cNvPicPr>
                      <a:picLocks noChangeAspect="1" noChangeArrowheads="1"/>
                    </pic:cNvPicPr>
                  </pic:nvPicPr>
                  <pic:blipFill>
                    <a:blip r:embed="rId8" cstate="print">
                      <a:extLst>
                        <a:ext uri="{28A0092B-C50C-407E-A947-70E740481C1C}">
                          <a14:useLocalDpi xmlns:a14="http://schemas.microsoft.com/office/drawing/2010/main" val="0"/>
                        </a:ext>
                      </a:extLst>
                    </a:blip>
                    <a:srcRect l="2425" t="4393" r="1811" b="9396"/>
                    <a:stretch>
                      <a:fillRect/>
                    </a:stretch>
                  </pic:blipFill>
                  <pic:spPr>
                    <a:xfrm>
                      <a:off x="0" y="0"/>
                      <a:ext cx="5818505" cy="4435475"/>
                    </a:xfrm>
                    <a:prstGeom prst="rect">
                      <a:avLst/>
                    </a:prstGeom>
                    <a:noFill/>
                  </pic:spPr>
                </pic:pic>
              </a:graphicData>
            </a:graphic>
          </wp:inline>
        </w:drawing>
      </w:r>
    </w:p>
    <w:p w14:paraId="1F6F2EF5">
      <w:pPr>
        <w:spacing w:line="360" w:lineRule="auto"/>
        <w:rPr>
          <w:rFonts w:hint="default" w:ascii="Times New Roman" w:hAnsi="Times New Roman" w:cs="Times New Roman"/>
          <w:i/>
          <w:iCs/>
          <w:sz w:val="24"/>
          <w:szCs w:val="24"/>
        </w:rPr>
      </w:pPr>
      <w:r>
        <w:rPr>
          <w:rFonts w:hint="default" w:ascii="Times New Roman" w:hAnsi="Times New Roman" w:cs="Times New Roman"/>
          <w:b/>
          <w:bCs/>
          <w:sz w:val="24"/>
          <w:szCs w:val="24"/>
        </w:rPr>
        <w:t>Fig. S5</w:t>
      </w:r>
      <w:r>
        <w:rPr>
          <w:rFonts w:hint="default" w:ascii="Times New Roman" w:hAnsi="Times New Roman" w:cs="Times New Roman"/>
          <w:sz w:val="24"/>
          <w:szCs w:val="24"/>
        </w:rPr>
        <w:t xml:space="preserve"> Functional classification of Gene Ontology (GO) annotations in the genome of the </w:t>
      </w:r>
      <w:r>
        <w:rPr>
          <w:rFonts w:hint="default" w:ascii="Times New Roman" w:hAnsi="Times New Roman" w:cs="Times New Roman"/>
          <w:i/>
          <w:iCs/>
          <w:sz w:val="24"/>
          <w:szCs w:val="24"/>
        </w:rPr>
        <w:t>P.asparagi.</w:t>
      </w:r>
    </w:p>
    <w:p w14:paraId="07692F78">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128260" cy="6838315"/>
            <wp:effectExtent l="0" t="0" r="15240" b="635"/>
            <wp:docPr id="8" name="图片 8" descr="KEGG_前50_柱状图_GeneNumber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KEGG_前50_柱状图_GeneNumber版"/>
                    <pic:cNvPicPr>
                      <a:picLocks noChangeAspect="1"/>
                    </pic:cNvPicPr>
                  </pic:nvPicPr>
                  <pic:blipFill>
                    <a:blip r:embed="rId9"/>
                    <a:stretch>
                      <a:fillRect/>
                    </a:stretch>
                  </pic:blipFill>
                  <pic:spPr>
                    <a:xfrm>
                      <a:off x="0" y="0"/>
                      <a:ext cx="5128260" cy="6838315"/>
                    </a:xfrm>
                    <a:prstGeom prst="rect">
                      <a:avLst/>
                    </a:prstGeom>
                  </pic:spPr>
                </pic:pic>
              </a:graphicData>
            </a:graphic>
          </wp:inline>
        </w:drawing>
      </w:r>
    </w:p>
    <w:p w14:paraId="694EC67D">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S6</w:t>
      </w:r>
      <w:r>
        <w:rPr>
          <w:rFonts w:hint="default" w:ascii="Times New Roman" w:hAnsi="Times New Roman" w:cs="Times New Roman"/>
          <w:sz w:val="24"/>
          <w:szCs w:val="24"/>
        </w:rPr>
        <w:t xml:space="preserve"> Kyoto Encyclopedia of Genes and Genomes (KEGG) and classification on the annotated unigenes. In total, 3,604 unigenes were grouped into 112 pathways, including  cellular processes,  environmental information processing, genetic information processing and metabolism. </w:t>
      </w:r>
      <w:r>
        <w:rPr>
          <w:rFonts w:hint="default" w:ascii="Times New Roman" w:hAnsi="Times New Roman" w:cs="Times New Roman"/>
          <w:sz w:val="24"/>
          <w:szCs w:val="24"/>
        </w:rPr>
        <w:br w:type="page"/>
      </w:r>
      <w:r>
        <w:rPr>
          <w:rFonts w:hint="default" w:ascii="Times New Roman" w:hAnsi="Times New Roman" w:cs="Times New Roman"/>
          <w:sz w:val="24"/>
          <w:szCs w:val="24"/>
        </w:rPr>
        <w:drawing>
          <wp:inline distT="0" distB="0" distL="114300" distR="114300">
            <wp:extent cx="5803900" cy="3327400"/>
            <wp:effectExtent l="0" t="0" r="0" b="0"/>
            <wp:docPr id="4"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3"/>
                    <pic:cNvPicPr>
                      <a:picLocks noChangeAspect="1" noChangeArrowheads="1"/>
                    </pic:cNvPicPr>
                  </pic:nvPicPr>
                  <pic:blipFill>
                    <a:blip r:embed="rId10" cstate="print">
                      <a:extLst>
                        <a:ext uri="{28A0092B-C50C-407E-A947-70E740481C1C}">
                          <a14:useLocalDpi xmlns:a14="http://schemas.microsoft.com/office/drawing/2010/main" val="0"/>
                        </a:ext>
                      </a:extLst>
                    </a:blip>
                    <a:srcRect t="4467"/>
                    <a:stretch>
                      <a:fillRect/>
                    </a:stretch>
                  </pic:blipFill>
                  <pic:spPr>
                    <a:xfrm>
                      <a:off x="0" y="0"/>
                      <a:ext cx="5803900" cy="3327400"/>
                    </a:xfrm>
                    <a:prstGeom prst="rect">
                      <a:avLst/>
                    </a:prstGeom>
                    <a:noFill/>
                  </pic:spPr>
                </pic:pic>
              </a:graphicData>
            </a:graphic>
          </wp:inline>
        </w:drawing>
      </w:r>
    </w:p>
    <w:p w14:paraId="0E219696">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 xml:space="preserve">Fig. S7 </w:t>
      </w:r>
      <w:r>
        <w:rPr>
          <w:rFonts w:hint="default" w:ascii="Times New Roman" w:hAnsi="Times New Roman" w:cs="Times New Roman"/>
          <w:sz w:val="24"/>
          <w:szCs w:val="24"/>
        </w:rPr>
        <w:t>The classification of Eukaryotic Orthologous Groups (KOG) of the annotated unigenes. All unigenes were aligned to the KOG database to predict and classify possible functions. Out of 6545 genes were grouped into 25 KOG classifications.</w:t>
      </w:r>
      <w:r>
        <w:rPr>
          <w:rFonts w:hint="default" w:ascii="Times New Roman" w:hAnsi="Times New Roman" w:cs="Times New Roman"/>
          <w:sz w:val="24"/>
          <w:szCs w:val="24"/>
        </w:rPr>
        <w:br w:type="page"/>
      </w:r>
    </w:p>
    <w:p w14:paraId="399A9E8E">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368290" cy="3101975"/>
            <wp:effectExtent l="0" t="0" r="3810" b="3175"/>
            <wp:docPr id="20" name="图片 20" descr="Fig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 5-2"/>
                    <pic:cNvPicPr>
                      <a:picLocks noChangeAspect="1"/>
                    </pic:cNvPicPr>
                  </pic:nvPicPr>
                  <pic:blipFill>
                    <a:blip r:embed="rId11"/>
                    <a:srcRect l="1859" t="1167" r="6233" b="4451"/>
                    <a:stretch>
                      <a:fillRect/>
                    </a:stretch>
                  </pic:blipFill>
                  <pic:spPr>
                    <a:xfrm>
                      <a:off x="0" y="0"/>
                      <a:ext cx="5368290" cy="3101975"/>
                    </a:xfrm>
                    <a:prstGeom prst="rect">
                      <a:avLst/>
                    </a:prstGeom>
                  </pic:spPr>
                </pic:pic>
              </a:graphicData>
            </a:graphic>
          </wp:inline>
        </w:drawing>
      </w:r>
    </w:p>
    <w:p w14:paraId="39752004">
      <w:pPr>
        <w:spacing w:line="360" w:lineRule="auto"/>
        <w:rPr>
          <w:rFonts w:hint="default" w:ascii="Times New Roman" w:hAnsi="Times New Roman" w:cs="Times New Roman"/>
          <w:sz w:val="24"/>
          <w:szCs w:val="24"/>
        </w:rPr>
      </w:pPr>
      <w:r>
        <w:rPr>
          <w:rFonts w:hint="default" w:ascii="Times New Roman" w:hAnsi="Times New Roman" w:cs="Times New Roman"/>
          <w:b/>
          <w:bCs/>
          <w:sz w:val="24"/>
          <w:szCs w:val="24"/>
        </w:rPr>
        <w:t>Fig. S8</w:t>
      </w:r>
      <w:r>
        <w:rPr>
          <w:rFonts w:hint="default" w:ascii="Times New Roman" w:hAnsi="Times New Roman" w:cs="Times New Roman"/>
          <w:sz w:val="24"/>
          <w:szCs w:val="24"/>
        </w:rPr>
        <w:t xml:space="preserve"> Functional annotation analysis of the whole genome of</w:t>
      </w:r>
      <w:r>
        <w:rPr>
          <w:rFonts w:hint="default" w:ascii="Times New Roman" w:hAnsi="Times New Roman" w:cs="Times New Roman"/>
          <w:i/>
          <w:iCs/>
          <w:sz w:val="24"/>
          <w:szCs w:val="24"/>
        </w:rPr>
        <w:t> P. asparagi </w:t>
      </w:r>
      <w:r>
        <w:rPr>
          <w:rFonts w:hint="default" w:ascii="Times New Roman" w:hAnsi="Times New Roman" w:cs="Times New Roman"/>
          <w:sz w:val="24"/>
          <w:szCs w:val="24"/>
        </w:rPr>
        <w:t xml:space="preserve"> strain. (A) The histogram presents the CAZy (Carbohydrate-Active Enzymes) functional annotation. A total of 931 CAZy-encoding genes were identified, which are classified into six major functional categories, including glycoside hydrolases, auxiliary activities, carbohydrate esterases, glycosyl transferases, carbohydrate-binding modules and polysaccharide lyases. (B) Functional annotation of transporter proteins was performed on the predicted protein sequences of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strain using the TCDB database. A total of 133 genes were annotated, which are distributed in 5 major categories: channels/pores, electrochemical potential-driven transporters, primary active transporters, accessory factors involved in transport and incompletely characterized transport systems. (C) Distribution of annotated homologous species in the TCDB database for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genome.</w:t>
      </w:r>
      <w:r>
        <w:rPr>
          <w:rFonts w:hint="default" w:ascii="Times New Roman" w:hAnsi="Times New Roman" w:cs="Times New Roman"/>
          <w:sz w:val="24"/>
          <w:szCs w:val="24"/>
        </w:rPr>
        <w:br w:type="page"/>
      </w:r>
    </w:p>
    <w:p w14:paraId="47CD35F3">
      <w:pPr>
        <w:pStyle w:val="13"/>
        <w:rPr>
          <w:rFonts w:hint="default" w:ascii="Times New Roman" w:hAnsi="Times New Roman" w:cs="Times New Roman"/>
          <w:i/>
          <w:iCs/>
          <w:sz w:val="24"/>
          <w:szCs w:val="24"/>
        </w:rPr>
      </w:pPr>
      <w:r>
        <w:rPr>
          <w:rFonts w:hint="default" w:ascii="Times New Roman" w:hAnsi="Times New Roman" w:cs="Times New Roman"/>
          <w:sz w:val="24"/>
          <w:szCs w:val="24"/>
        </w:rPr>
        <w:t xml:space="preserve">Table S1. </w:t>
      </w:r>
      <w:bookmarkStart w:id="2" w:name="_Hlk191724085"/>
      <w:r>
        <w:rPr>
          <w:rFonts w:hint="default" w:ascii="Times New Roman" w:hAnsi="Times New Roman" w:cs="Times New Roman"/>
          <w:sz w:val="24"/>
          <w:szCs w:val="24"/>
        </w:rPr>
        <w:t xml:space="preserve">Summary statistics of genome K-mer of </w:t>
      </w:r>
      <w:bookmarkEnd w:id="2"/>
      <w:r>
        <w:rPr>
          <w:rFonts w:hint="default" w:ascii="Times New Roman" w:hAnsi="Times New Roman" w:cs="Times New Roman"/>
          <w:i/>
          <w:iCs/>
          <w:sz w:val="24"/>
          <w:szCs w:val="24"/>
        </w:rPr>
        <w:t>P. asparagi</w:t>
      </w:r>
    </w:p>
    <w:tbl>
      <w:tblPr>
        <w:tblStyle w:val="7"/>
        <w:tblW w:w="4443" w:type="pct"/>
        <w:jc w:val="center"/>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5103"/>
        <w:gridCol w:w="2446"/>
        <w:gridCol w:w="24"/>
      </w:tblGrid>
      <w:tr w14:paraId="5310C1F0">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2" w:hRule="atLeast"/>
          <w:jc w:val="center"/>
        </w:trPr>
        <w:tc>
          <w:tcPr>
            <w:tcW w:w="3369" w:type="pct"/>
            <w:tcBorders>
              <w:top w:val="single" w:color="auto" w:sz="12" w:space="0"/>
              <w:bottom w:val="single" w:color="auto" w:sz="6" w:space="0"/>
            </w:tcBorders>
            <w:vAlign w:val="center"/>
          </w:tcPr>
          <w:p w14:paraId="269B79CE">
            <w:pPr>
              <w:jc w:val="center"/>
              <w:rPr>
                <w:rFonts w:hint="default" w:ascii="Times New Roman" w:hAnsi="Times New Roman" w:eastAsia="宋体" w:cs="Times New Roman"/>
                <w:kern w:val="0"/>
                <w:sz w:val="21"/>
                <w:szCs w:val="21"/>
              </w:rPr>
            </w:pPr>
            <w:bookmarkStart w:id="3" w:name="_Hlk185889387"/>
            <w:r>
              <w:rPr>
                <w:rFonts w:hint="default" w:ascii="Times New Roman" w:hAnsi="Times New Roman" w:eastAsia="宋体" w:cs="Times New Roman"/>
                <w:kern w:val="0"/>
                <w:sz w:val="21"/>
                <w:szCs w:val="21"/>
              </w:rPr>
              <w:t>Measure</w:t>
            </w:r>
          </w:p>
        </w:tc>
        <w:tc>
          <w:tcPr>
            <w:tcW w:w="1631" w:type="pct"/>
            <w:gridSpan w:val="2"/>
            <w:tcBorders>
              <w:top w:val="single" w:color="auto" w:sz="12" w:space="0"/>
              <w:bottom w:val="single" w:color="auto" w:sz="6" w:space="0"/>
            </w:tcBorders>
            <w:vAlign w:val="center"/>
          </w:tcPr>
          <w:p w14:paraId="359C9519">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Value</w:t>
            </w:r>
          </w:p>
        </w:tc>
      </w:tr>
      <w:tr w14:paraId="352AC2E8">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pct"/>
          <w:trHeight w:val="432" w:hRule="atLeast"/>
          <w:jc w:val="center"/>
        </w:trPr>
        <w:tc>
          <w:tcPr>
            <w:tcW w:w="3369" w:type="pct"/>
            <w:tcBorders>
              <w:top w:val="single" w:color="auto" w:sz="6" w:space="0"/>
            </w:tcBorders>
            <w:vAlign w:val="center"/>
          </w:tcPr>
          <w:p w14:paraId="44ECF692">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Total K-mer count</w:t>
            </w:r>
          </w:p>
        </w:tc>
        <w:tc>
          <w:tcPr>
            <w:tcW w:w="1615" w:type="pct"/>
            <w:tcBorders>
              <w:top w:val="single" w:color="auto" w:sz="6" w:space="0"/>
            </w:tcBorders>
            <w:vAlign w:val="center"/>
          </w:tcPr>
          <w:p w14:paraId="51BC0579">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2,763,810,616</w:t>
            </w:r>
          </w:p>
        </w:tc>
      </w:tr>
      <w:tr w14:paraId="78CD40D1">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pct"/>
          <w:trHeight w:val="432" w:hRule="atLeast"/>
          <w:jc w:val="center"/>
        </w:trPr>
        <w:tc>
          <w:tcPr>
            <w:tcW w:w="3369" w:type="pct"/>
            <w:vAlign w:val="center"/>
          </w:tcPr>
          <w:p w14:paraId="448410DA">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Valid K-mer count</w:t>
            </w:r>
          </w:p>
        </w:tc>
        <w:tc>
          <w:tcPr>
            <w:tcW w:w="1615" w:type="pct"/>
            <w:vAlign w:val="center"/>
          </w:tcPr>
          <w:p w14:paraId="19875B7B">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2,698,831,689</w:t>
            </w:r>
          </w:p>
        </w:tc>
      </w:tr>
      <w:tr w14:paraId="22B293B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pct"/>
          <w:trHeight w:val="432" w:hRule="atLeast"/>
          <w:jc w:val="center"/>
        </w:trPr>
        <w:tc>
          <w:tcPr>
            <w:tcW w:w="3369" w:type="pct"/>
            <w:vAlign w:val="center"/>
          </w:tcPr>
          <w:p w14:paraId="753C8889">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Estimated genome size / Mbp</w:t>
            </w:r>
          </w:p>
        </w:tc>
        <w:tc>
          <w:tcPr>
            <w:tcW w:w="1615" w:type="pct"/>
            <w:vAlign w:val="center"/>
          </w:tcPr>
          <w:p w14:paraId="2E4EDE4A">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 xml:space="preserve">102.78 </w:t>
            </w:r>
          </w:p>
        </w:tc>
      </w:tr>
      <w:tr w14:paraId="6BF92D1A">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pct"/>
          <w:trHeight w:val="432" w:hRule="atLeast"/>
          <w:jc w:val="center"/>
        </w:trPr>
        <w:tc>
          <w:tcPr>
            <w:tcW w:w="3369" w:type="pct"/>
            <w:vAlign w:val="center"/>
          </w:tcPr>
          <w:p w14:paraId="37DA0E0D">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Repetitive content / %</w:t>
            </w:r>
          </w:p>
        </w:tc>
        <w:tc>
          <w:tcPr>
            <w:tcW w:w="1615" w:type="pct"/>
            <w:vAlign w:val="center"/>
          </w:tcPr>
          <w:p w14:paraId="4359ED80">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58.96</w:t>
            </w:r>
          </w:p>
        </w:tc>
      </w:tr>
      <w:tr w14:paraId="289BEA02">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16" w:type="pct"/>
          <w:trHeight w:val="432" w:hRule="atLeast"/>
          <w:jc w:val="center"/>
        </w:trPr>
        <w:tc>
          <w:tcPr>
            <w:tcW w:w="3369" w:type="pct"/>
            <w:tcBorders>
              <w:bottom w:val="single" w:color="auto" w:sz="12" w:space="0"/>
            </w:tcBorders>
            <w:vAlign w:val="center"/>
          </w:tcPr>
          <w:p w14:paraId="514423F9">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Heterozygosity rate / %</w:t>
            </w:r>
          </w:p>
        </w:tc>
        <w:tc>
          <w:tcPr>
            <w:tcW w:w="1615" w:type="pct"/>
            <w:tcBorders>
              <w:bottom w:val="single" w:color="auto" w:sz="12" w:space="0"/>
            </w:tcBorders>
            <w:vAlign w:val="center"/>
          </w:tcPr>
          <w:p w14:paraId="3E24E618">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0.34</w:t>
            </w:r>
          </w:p>
        </w:tc>
      </w:tr>
      <w:bookmarkEnd w:id="3"/>
    </w:tbl>
    <w:p w14:paraId="006D068D">
      <w:pPr>
        <w:rPr>
          <w:rFonts w:hint="default" w:ascii="Times New Roman" w:hAnsi="Times New Roman" w:cs="Times New Roman"/>
          <w:b/>
          <w:bCs/>
          <w:sz w:val="24"/>
          <w:szCs w:val="24"/>
        </w:rPr>
      </w:pPr>
    </w:p>
    <w:p w14:paraId="71A10F0F">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Table </w:t>
      </w:r>
      <w:bookmarkStart w:id="4" w:name="_Hlk186099956"/>
      <w:r>
        <w:rPr>
          <w:rFonts w:hint="default" w:ascii="Times New Roman" w:hAnsi="Times New Roman" w:eastAsia="宋体" w:cs="Times New Roman"/>
          <w:sz w:val="24"/>
          <w:szCs w:val="24"/>
        </w:rPr>
        <w:t>S2. HiC-Pro mapping results statistics</w:t>
      </w:r>
      <w:bookmarkEnd w:id="4"/>
    </w:p>
    <w:tbl>
      <w:tblPr>
        <w:tblStyle w:val="7"/>
        <w:tblW w:w="4388"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681"/>
        <w:gridCol w:w="1871"/>
        <w:gridCol w:w="1927"/>
      </w:tblGrid>
      <w:tr w14:paraId="2F0A7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461" w:type="pct"/>
            <w:tcBorders>
              <w:top w:val="single" w:color="auto" w:sz="12" w:space="0"/>
              <w:bottom w:val="single" w:color="auto" w:sz="6" w:space="0"/>
            </w:tcBorders>
            <w:vAlign w:val="center"/>
          </w:tcPr>
          <w:p w14:paraId="4ACBA95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Type</w:t>
            </w:r>
          </w:p>
        </w:tc>
        <w:tc>
          <w:tcPr>
            <w:tcW w:w="1251" w:type="pct"/>
            <w:tcBorders>
              <w:top w:val="single" w:color="auto" w:sz="12" w:space="0"/>
              <w:bottom w:val="single" w:color="auto" w:sz="6" w:space="0"/>
            </w:tcBorders>
            <w:vAlign w:val="center"/>
          </w:tcPr>
          <w:p w14:paraId="022D1DF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Pairs count</w:t>
            </w:r>
          </w:p>
        </w:tc>
        <w:tc>
          <w:tcPr>
            <w:tcW w:w="1288" w:type="pct"/>
            <w:tcBorders>
              <w:top w:val="single" w:color="auto" w:sz="12" w:space="0"/>
              <w:bottom w:val="single" w:color="auto" w:sz="6" w:space="0"/>
            </w:tcBorders>
            <w:vAlign w:val="center"/>
          </w:tcPr>
          <w:p w14:paraId="17E45E8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Percent (%)</w:t>
            </w:r>
          </w:p>
        </w:tc>
      </w:tr>
      <w:tr w14:paraId="09C421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461" w:type="pct"/>
            <w:tcBorders>
              <w:top w:val="single" w:color="auto" w:sz="6" w:space="0"/>
            </w:tcBorders>
            <w:vAlign w:val="center"/>
          </w:tcPr>
          <w:p w14:paraId="3F2EAEB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Total read pairs</w:t>
            </w:r>
          </w:p>
        </w:tc>
        <w:tc>
          <w:tcPr>
            <w:tcW w:w="1251" w:type="pct"/>
            <w:tcBorders>
              <w:top w:val="single" w:color="auto" w:sz="6" w:space="0"/>
            </w:tcBorders>
            <w:vAlign w:val="center"/>
          </w:tcPr>
          <w:p w14:paraId="7CF173B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44,392,046</w:t>
            </w:r>
          </w:p>
        </w:tc>
        <w:tc>
          <w:tcPr>
            <w:tcW w:w="1288" w:type="pct"/>
            <w:tcBorders>
              <w:top w:val="single" w:color="auto" w:sz="6" w:space="0"/>
            </w:tcBorders>
            <w:vAlign w:val="center"/>
          </w:tcPr>
          <w:p w14:paraId="55F0965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100.00</w:t>
            </w:r>
          </w:p>
        </w:tc>
      </w:tr>
      <w:tr w14:paraId="3F5351D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461" w:type="pct"/>
            <w:vAlign w:val="center"/>
          </w:tcPr>
          <w:p w14:paraId="445591C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Mapped reads</w:t>
            </w:r>
          </w:p>
        </w:tc>
        <w:tc>
          <w:tcPr>
            <w:tcW w:w="1251" w:type="pct"/>
            <w:vAlign w:val="center"/>
          </w:tcPr>
          <w:p w14:paraId="21C5761A">
            <w:pPr>
              <w:autoSpaceDE w:val="0"/>
              <w:autoSpaceDN w:val="0"/>
              <w:adjustRightInd w:val="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82,947,741</w:t>
            </w:r>
          </w:p>
        </w:tc>
        <w:tc>
          <w:tcPr>
            <w:tcW w:w="1288" w:type="pct"/>
            <w:vAlign w:val="center"/>
          </w:tcPr>
          <w:p w14:paraId="2F5086E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93.43</w:t>
            </w:r>
          </w:p>
        </w:tc>
      </w:tr>
      <w:tr w14:paraId="3FAFE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461" w:type="pct"/>
            <w:tcBorders>
              <w:bottom w:val="single" w:color="auto" w:sz="12" w:space="0"/>
            </w:tcBorders>
            <w:vAlign w:val="center"/>
          </w:tcPr>
          <w:p w14:paraId="7A7842E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Unique mapped read pairs</w:t>
            </w:r>
          </w:p>
        </w:tc>
        <w:tc>
          <w:tcPr>
            <w:tcW w:w="1251" w:type="pct"/>
            <w:tcBorders>
              <w:bottom w:val="single" w:color="auto" w:sz="12" w:space="0"/>
            </w:tcBorders>
            <w:vAlign w:val="center"/>
          </w:tcPr>
          <w:p w14:paraId="72AAA965">
            <w:pPr>
              <w:autoSpaceDE w:val="0"/>
              <w:autoSpaceDN w:val="0"/>
              <w:adjustRightInd w:val="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33,251,800</w:t>
            </w:r>
          </w:p>
        </w:tc>
        <w:tc>
          <w:tcPr>
            <w:tcW w:w="1288" w:type="pct"/>
            <w:tcBorders>
              <w:bottom w:val="single" w:color="auto" w:sz="12" w:space="0"/>
            </w:tcBorders>
            <w:vAlign w:val="center"/>
          </w:tcPr>
          <w:p w14:paraId="18318B0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74.90</w:t>
            </w:r>
          </w:p>
        </w:tc>
      </w:tr>
    </w:tbl>
    <w:p w14:paraId="5A778FF4">
      <w:pPr>
        <w:rPr>
          <w:rFonts w:hint="default" w:ascii="Times New Roman" w:hAnsi="Times New Roman" w:cs="Times New Roman"/>
          <w:b/>
          <w:bCs/>
          <w:sz w:val="24"/>
          <w:szCs w:val="24"/>
        </w:rPr>
      </w:pPr>
    </w:p>
    <w:p w14:paraId="37DA5D7B">
      <w:pPr>
        <w:rPr>
          <w:rFonts w:hint="default" w:ascii="Times New Roman" w:hAnsi="Times New Roman" w:cs="Times New Roman"/>
          <w:b/>
          <w:bCs/>
          <w:sz w:val="24"/>
          <w:szCs w:val="24"/>
        </w:rPr>
      </w:pPr>
    </w:p>
    <w:p w14:paraId="4F41095B">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Table S3. </w:t>
      </w:r>
      <w:bookmarkStart w:id="5" w:name="_Hlk191724402"/>
      <w:r>
        <w:rPr>
          <w:rFonts w:hint="default" w:ascii="Times New Roman" w:hAnsi="Times New Roman" w:eastAsia="宋体" w:cs="Times New Roman"/>
          <w:sz w:val="24"/>
          <w:szCs w:val="24"/>
        </w:rPr>
        <w:t>Summary statistics of chromosome sequence distribution</w:t>
      </w:r>
      <w:bookmarkEnd w:id="5"/>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535"/>
        <w:gridCol w:w="1786"/>
        <w:gridCol w:w="2201"/>
      </w:tblGrid>
      <w:tr w14:paraId="33C4D3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4" w:hRule="atLeast"/>
          <w:jc w:val="center"/>
        </w:trPr>
        <w:tc>
          <w:tcPr>
            <w:tcW w:w="2661" w:type="pct"/>
            <w:tcBorders>
              <w:top w:val="single" w:color="auto" w:sz="12" w:space="0"/>
              <w:bottom w:val="single" w:color="auto" w:sz="6" w:space="0"/>
            </w:tcBorders>
            <w:vAlign w:val="center"/>
          </w:tcPr>
          <w:p w14:paraId="0D10C17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Group</w:t>
            </w:r>
          </w:p>
        </w:tc>
        <w:tc>
          <w:tcPr>
            <w:tcW w:w="1048" w:type="pct"/>
            <w:tcBorders>
              <w:top w:val="single" w:color="auto" w:sz="12" w:space="0"/>
              <w:bottom w:val="single" w:color="auto" w:sz="6" w:space="0"/>
            </w:tcBorders>
            <w:vAlign w:val="center"/>
          </w:tcPr>
          <w:p w14:paraId="56DA270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Sequence number</w:t>
            </w:r>
          </w:p>
        </w:tc>
        <w:tc>
          <w:tcPr>
            <w:tcW w:w="1291" w:type="pct"/>
            <w:tcBorders>
              <w:top w:val="single" w:color="auto" w:sz="12" w:space="0"/>
              <w:bottom w:val="single" w:color="auto" w:sz="6" w:space="0"/>
            </w:tcBorders>
            <w:vAlign w:val="center"/>
          </w:tcPr>
          <w:p w14:paraId="0A171D1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Sequence length (bp)</w:t>
            </w:r>
          </w:p>
        </w:tc>
      </w:tr>
      <w:tr w14:paraId="1EC80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tcBorders>
              <w:top w:val="single" w:color="auto" w:sz="6" w:space="0"/>
            </w:tcBorders>
            <w:vAlign w:val="center"/>
          </w:tcPr>
          <w:p w14:paraId="2101194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Group1</w:t>
            </w:r>
          </w:p>
        </w:tc>
        <w:tc>
          <w:tcPr>
            <w:tcW w:w="1048" w:type="pct"/>
            <w:tcBorders>
              <w:top w:val="single" w:color="auto" w:sz="6" w:space="0"/>
            </w:tcBorders>
            <w:vAlign w:val="center"/>
          </w:tcPr>
          <w:p w14:paraId="4232CD7F">
            <w:pPr>
              <w:jc w:val="center"/>
              <w:rPr>
                <w:rFonts w:hint="default" w:ascii="Times New Roman" w:hAnsi="Times New Roman" w:eastAsia="宋体" w:cs="Times New Roman"/>
                <w:b w:val="0"/>
                <w:bCs w:val="0"/>
                <w:kern w:val="0"/>
                <w:sz w:val="21"/>
                <w:szCs w:val="21"/>
              </w:rPr>
            </w:pPr>
            <w:r>
              <w:rPr>
                <w:rFonts w:hint="default" w:ascii="Times New Roman" w:hAnsi="Times New Roman" w:eastAsia="等线" w:cs="Times New Roman"/>
                <w:b w:val="0"/>
                <w:bCs w:val="0"/>
                <w:kern w:val="0"/>
                <w:sz w:val="21"/>
                <w:szCs w:val="21"/>
              </w:rPr>
              <w:t>1</w:t>
            </w:r>
          </w:p>
        </w:tc>
        <w:tc>
          <w:tcPr>
            <w:tcW w:w="1291" w:type="pct"/>
            <w:tcBorders>
              <w:top w:val="single" w:color="auto" w:sz="6" w:space="0"/>
            </w:tcBorders>
            <w:vAlign w:val="center"/>
          </w:tcPr>
          <w:p w14:paraId="320256C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13,523,886</w:t>
            </w:r>
          </w:p>
        </w:tc>
      </w:tr>
      <w:tr w14:paraId="5DE723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tcBorders>
              <w:bottom w:val="dashSmallGap" w:color="auto" w:sz="4" w:space="0"/>
            </w:tcBorders>
            <w:vAlign w:val="center"/>
          </w:tcPr>
          <w:p w14:paraId="79F7634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Group2</w:t>
            </w:r>
          </w:p>
        </w:tc>
        <w:tc>
          <w:tcPr>
            <w:tcW w:w="1048" w:type="pct"/>
            <w:tcBorders>
              <w:bottom w:val="dashSmallGap" w:color="auto" w:sz="4" w:space="0"/>
            </w:tcBorders>
            <w:vAlign w:val="center"/>
          </w:tcPr>
          <w:p w14:paraId="22A8C72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w:t>
            </w:r>
          </w:p>
        </w:tc>
        <w:tc>
          <w:tcPr>
            <w:tcW w:w="1291" w:type="pct"/>
            <w:tcBorders>
              <w:bottom w:val="dashSmallGap" w:color="auto" w:sz="4" w:space="0"/>
            </w:tcBorders>
            <w:vAlign w:val="center"/>
          </w:tcPr>
          <w:p w14:paraId="3FEC0E23">
            <w:pPr>
              <w:autoSpaceDE w:val="0"/>
              <w:autoSpaceDN w:val="0"/>
              <w:adjustRightInd w:val="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13,017,923</w:t>
            </w:r>
          </w:p>
        </w:tc>
      </w:tr>
      <w:tr w14:paraId="7572761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tcBorders>
              <w:top w:val="dashSmallGap" w:color="auto" w:sz="4" w:space="0"/>
            </w:tcBorders>
            <w:vAlign w:val="center"/>
          </w:tcPr>
          <w:p w14:paraId="0751020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Group3</w:t>
            </w:r>
          </w:p>
        </w:tc>
        <w:tc>
          <w:tcPr>
            <w:tcW w:w="1048" w:type="pct"/>
            <w:tcBorders>
              <w:top w:val="dashSmallGap" w:color="auto" w:sz="4" w:space="0"/>
            </w:tcBorders>
            <w:vAlign w:val="center"/>
          </w:tcPr>
          <w:p w14:paraId="49C6F63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w:t>
            </w:r>
          </w:p>
        </w:tc>
        <w:tc>
          <w:tcPr>
            <w:tcW w:w="1291" w:type="pct"/>
            <w:tcBorders>
              <w:top w:val="dashSmallGap" w:color="auto" w:sz="4" w:space="0"/>
            </w:tcBorders>
            <w:vAlign w:val="center"/>
          </w:tcPr>
          <w:p w14:paraId="70E0A6F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12,386,621</w:t>
            </w:r>
          </w:p>
        </w:tc>
      </w:tr>
      <w:tr w14:paraId="1555BD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432A712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Group4</w:t>
            </w:r>
          </w:p>
        </w:tc>
        <w:tc>
          <w:tcPr>
            <w:tcW w:w="1048" w:type="pct"/>
            <w:vAlign w:val="center"/>
          </w:tcPr>
          <w:p w14:paraId="4E44DD88">
            <w:pPr>
              <w:jc w:val="center"/>
              <w:rPr>
                <w:rFonts w:hint="default" w:ascii="Times New Roman" w:hAnsi="Times New Roman" w:eastAsia="宋体" w:cs="Times New Roman"/>
                <w:b w:val="0"/>
                <w:bCs w:val="0"/>
                <w:kern w:val="0"/>
                <w:sz w:val="21"/>
                <w:szCs w:val="21"/>
              </w:rPr>
            </w:pPr>
            <w:r>
              <w:rPr>
                <w:rFonts w:hint="default" w:ascii="Times New Roman" w:hAnsi="Times New Roman" w:eastAsia="等线" w:cs="Times New Roman"/>
                <w:b w:val="0"/>
                <w:bCs w:val="0"/>
                <w:kern w:val="0"/>
                <w:sz w:val="21"/>
                <w:szCs w:val="21"/>
              </w:rPr>
              <w:t>1</w:t>
            </w:r>
          </w:p>
        </w:tc>
        <w:tc>
          <w:tcPr>
            <w:tcW w:w="1291" w:type="pct"/>
            <w:vAlign w:val="center"/>
          </w:tcPr>
          <w:p w14:paraId="42F392D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11,694,366</w:t>
            </w:r>
          </w:p>
        </w:tc>
      </w:tr>
      <w:tr w14:paraId="35A29E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154D8E0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Group5</w:t>
            </w:r>
          </w:p>
        </w:tc>
        <w:tc>
          <w:tcPr>
            <w:tcW w:w="1048" w:type="pct"/>
            <w:vAlign w:val="center"/>
          </w:tcPr>
          <w:p w14:paraId="5B4E205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w:t>
            </w:r>
          </w:p>
        </w:tc>
        <w:tc>
          <w:tcPr>
            <w:tcW w:w="1291" w:type="pct"/>
            <w:vAlign w:val="center"/>
          </w:tcPr>
          <w:p w14:paraId="5F3CAC1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11,281,672</w:t>
            </w:r>
          </w:p>
        </w:tc>
      </w:tr>
      <w:tr w14:paraId="2AED10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3A97808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Group6</w:t>
            </w:r>
          </w:p>
        </w:tc>
        <w:tc>
          <w:tcPr>
            <w:tcW w:w="1048" w:type="pct"/>
            <w:vAlign w:val="center"/>
          </w:tcPr>
          <w:p w14:paraId="612A2F9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w:t>
            </w:r>
          </w:p>
        </w:tc>
        <w:tc>
          <w:tcPr>
            <w:tcW w:w="1291" w:type="pct"/>
            <w:vAlign w:val="center"/>
          </w:tcPr>
          <w:p w14:paraId="2A7022A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11,023,864</w:t>
            </w:r>
          </w:p>
        </w:tc>
      </w:tr>
      <w:tr w14:paraId="2DC661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639121D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Group7</w:t>
            </w:r>
          </w:p>
        </w:tc>
        <w:tc>
          <w:tcPr>
            <w:tcW w:w="1048" w:type="pct"/>
            <w:vAlign w:val="center"/>
          </w:tcPr>
          <w:p w14:paraId="51CD5E5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w:t>
            </w:r>
          </w:p>
        </w:tc>
        <w:tc>
          <w:tcPr>
            <w:tcW w:w="1291" w:type="pct"/>
            <w:vAlign w:val="center"/>
          </w:tcPr>
          <w:p w14:paraId="4EA868B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8,023,736</w:t>
            </w:r>
          </w:p>
        </w:tc>
      </w:tr>
      <w:tr w14:paraId="0F6ED1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2E96E1E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Lachesis Group8</w:t>
            </w:r>
          </w:p>
        </w:tc>
        <w:tc>
          <w:tcPr>
            <w:tcW w:w="1048" w:type="pct"/>
            <w:vAlign w:val="center"/>
          </w:tcPr>
          <w:p w14:paraId="6D6577E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w:t>
            </w:r>
          </w:p>
        </w:tc>
        <w:tc>
          <w:tcPr>
            <w:tcW w:w="1291" w:type="pct"/>
            <w:vAlign w:val="center"/>
          </w:tcPr>
          <w:p w14:paraId="68B5544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7,973,092</w:t>
            </w:r>
          </w:p>
        </w:tc>
      </w:tr>
      <w:tr w14:paraId="6C3F0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vAlign w:val="center"/>
          </w:tcPr>
          <w:p w14:paraId="296348D0">
            <w:pPr>
              <w:autoSpaceDE w:val="0"/>
              <w:autoSpaceDN w:val="0"/>
              <w:adjustRightInd w:val="0"/>
              <w:ind w:firstLine="42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 xml:space="preserve">Total sequences clustered (Ratio %) </w:t>
            </w:r>
          </w:p>
        </w:tc>
        <w:tc>
          <w:tcPr>
            <w:tcW w:w="1048" w:type="pct"/>
            <w:vAlign w:val="center"/>
          </w:tcPr>
          <w:p w14:paraId="60ED0D7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17（51.52）</w:t>
            </w:r>
          </w:p>
        </w:tc>
        <w:tc>
          <w:tcPr>
            <w:tcW w:w="1291" w:type="pct"/>
            <w:vAlign w:val="center"/>
          </w:tcPr>
          <w:p w14:paraId="012B1130">
            <w:pPr>
              <w:autoSpaceDE w:val="0"/>
              <w:autoSpaceDN w:val="0"/>
              <w:adjustRightInd w:val="0"/>
              <w:ind w:firstLine="42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88,925,163 (99.65)</w:t>
            </w:r>
          </w:p>
        </w:tc>
      </w:tr>
      <w:tr w14:paraId="083718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661" w:type="pct"/>
            <w:tcBorders>
              <w:bottom w:val="single" w:color="auto" w:sz="12" w:space="0"/>
            </w:tcBorders>
            <w:vAlign w:val="center"/>
          </w:tcPr>
          <w:p w14:paraId="492F203C">
            <w:pPr>
              <w:autoSpaceDE w:val="0"/>
              <w:autoSpaceDN w:val="0"/>
              <w:adjustRightInd w:val="0"/>
              <w:ind w:firstLine="42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Total sequences ordered and oriented (Ratio %)</w:t>
            </w:r>
          </w:p>
        </w:tc>
        <w:tc>
          <w:tcPr>
            <w:tcW w:w="1048" w:type="pct"/>
            <w:tcBorders>
              <w:bottom w:val="single" w:color="auto" w:sz="12" w:space="0"/>
            </w:tcBorders>
            <w:vAlign w:val="center"/>
          </w:tcPr>
          <w:p w14:paraId="2FF47923">
            <w:pPr>
              <w:jc w:val="center"/>
              <w:rPr>
                <w:rFonts w:hint="default" w:ascii="Times New Roman" w:hAnsi="Times New Roman" w:eastAsia="宋体" w:cs="Times New Roman"/>
                <w:b w:val="0"/>
                <w:bCs w:val="0"/>
                <w:kern w:val="0"/>
                <w:sz w:val="21"/>
                <w:szCs w:val="21"/>
              </w:rPr>
            </w:pPr>
            <w:r>
              <w:rPr>
                <w:rFonts w:hint="default" w:ascii="Times New Roman" w:hAnsi="Times New Roman" w:eastAsia="等线" w:cs="Times New Roman"/>
                <w:b w:val="0"/>
                <w:bCs w:val="0"/>
                <w:kern w:val="0"/>
                <w:sz w:val="21"/>
                <w:szCs w:val="21"/>
              </w:rPr>
              <w:t>17（100）</w:t>
            </w:r>
          </w:p>
        </w:tc>
        <w:tc>
          <w:tcPr>
            <w:tcW w:w="1291" w:type="pct"/>
            <w:tcBorders>
              <w:bottom w:val="single" w:color="auto" w:sz="12" w:space="0"/>
            </w:tcBorders>
            <w:vAlign w:val="center"/>
          </w:tcPr>
          <w:p w14:paraId="50D7F74D">
            <w:pPr>
              <w:autoSpaceDE w:val="0"/>
              <w:autoSpaceDN w:val="0"/>
              <w:adjustRightInd w:val="0"/>
              <w:ind w:firstLine="420"/>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88,925,163 (100)</w:t>
            </w:r>
          </w:p>
        </w:tc>
      </w:tr>
    </w:tbl>
    <w:p w14:paraId="44BA2DD7">
      <w:pPr>
        <w:rPr>
          <w:rFonts w:hint="default" w:ascii="Times New Roman" w:hAnsi="Times New Roman" w:cs="Times New Roman"/>
          <w:b/>
          <w:bCs/>
          <w:sz w:val="24"/>
          <w:szCs w:val="24"/>
        </w:rPr>
      </w:pPr>
    </w:p>
    <w:p w14:paraId="357D6327">
      <w:pPr>
        <w:rPr>
          <w:rFonts w:hint="default" w:ascii="Times New Roman" w:hAnsi="Times New Roman" w:cs="Times New Roman"/>
          <w:b/>
          <w:bCs/>
          <w:sz w:val="24"/>
          <w:szCs w:val="24"/>
        </w:rPr>
      </w:pPr>
    </w:p>
    <w:p w14:paraId="2651A50A">
      <w:pPr>
        <w:pStyle w:val="13"/>
        <w:rPr>
          <w:rFonts w:hint="default" w:ascii="Times New Roman" w:hAnsi="Times New Roman" w:cs="Times New Roman"/>
          <w:sz w:val="24"/>
          <w:szCs w:val="24"/>
        </w:rPr>
      </w:pPr>
      <w:r>
        <w:rPr>
          <w:rFonts w:hint="default" w:ascii="Times New Roman" w:hAnsi="Times New Roman" w:cs="Times New Roman"/>
          <w:sz w:val="24"/>
          <w:szCs w:val="24"/>
        </w:rPr>
        <w:t>Table S4. Statistics of alignment results of second-generation sequencing data</w:t>
      </w: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85"/>
        <w:gridCol w:w="1706"/>
        <w:gridCol w:w="1600"/>
        <w:gridCol w:w="1890"/>
        <w:gridCol w:w="1541"/>
      </w:tblGrid>
      <w:tr w14:paraId="7A8BDB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77" w:hRule="atLeast"/>
          <w:jc w:val="center"/>
        </w:trPr>
        <w:tc>
          <w:tcPr>
            <w:tcW w:w="1047" w:type="pct"/>
            <w:tcBorders>
              <w:top w:val="single" w:color="auto" w:sz="12" w:space="0"/>
              <w:bottom w:val="single" w:color="auto" w:sz="6" w:space="0"/>
            </w:tcBorders>
            <w:vAlign w:val="center"/>
          </w:tcPr>
          <w:p w14:paraId="25352A41">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Library</w:t>
            </w:r>
          </w:p>
        </w:tc>
        <w:tc>
          <w:tcPr>
            <w:tcW w:w="1001" w:type="pct"/>
            <w:tcBorders>
              <w:top w:val="single" w:color="auto" w:sz="12" w:space="0"/>
              <w:bottom w:val="single" w:color="auto" w:sz="6" w:space="0"/>
            </w:tcBorders>
          </w:tcPr>
          <w:p w14:paraId="03A2CD3E">
            <w:pPr>
              <w:jc w:val="center"/>
              <w:rPr>
                <w:rFonts w:hint="default" w:ascii="Times New Roman" w:hAnsi="Times New Roman" w:eastAsia="宋体" w:cs="Times New Roman"/>
                <w:kern w:val="0"/>
                <w:sz w:val="21"/>
                <w:szCs w:val="21"/>
              </w:rPr>
            </w:pPr>
          </w:p>
          <w:p w14:paraId="17A87DE5">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Mapped (%)</w:t>
            </w:r>
          </w:p>
        </w:tc>
        <w:tc>
          <w:tcPr>
            <w:tcW w:w="939" w:type="pct"/>
            <w:tcBorders>
              <w:top w:val="single" w:color="auto" w:sz="12" w:space="0"/>
              <w:bottom w:val="single" w:color="auto" w:sz="6" w:space="0"/>
            </w:tcBorders>
            <w:vAlign w:val="center"/>
          </w:tcPr>
          <w:p w14:paraId="35F280C6">
            <w:pP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Properly Mapped (%)</w:t>
            </w:r>
          </w:p>
        </w:tc>
        <w:tc>
          <w:tcPr>
            <w:tcW w:w="1109" w:type="pct"/>
            <w:tcBorders>
              <w:top w:val="single" w:color="auto" w:sz="12" w:space="0"/>
              <w:bottom w:val="single" w:color="auto" w:sz="6" w:space="0"/>
            </w:tcBorders>
            <w:vAlign w:val="center"/>
          </w:tcPr>
          <w:p w14:paraId="334309D1">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Coverage (%)</w:t>
            </w:r>
          </w:p>
        </w:tc>
        <w:tc>
          <w:tcPr>
            <w:tcW w:w="904" w:type="pct"/>
            <w:tcBorders>
              <w:top w:val="single" w:color="auto" w:sz="12" w:space="0"/>
              <w:bottom w:val="single" w:color="auto" w:sz="6" w:space="0"/>
            </w:tcBorders>
            <w:vAlign w:val="center"/>
          </w:tcPr>
          <w:p w14:paraId="2DDC6142">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Depth (%)</w:t>
            </w:r>
          </w:p>
        </w:tc>
      </w:tr>
      <w:tr w14:paraId="4566C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47" w:type="pct"/>
            <w:tcBorders>
              <w:bottom w:val="single" w:color="auto" w:sz="12" w:space="0"/>
            </w:tcBorders>
            <w:vAlign w:val="center"/>
          </w:tcPr>
          <w:p w14:paraId="62762B65">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350 bp</w:t>
            </w:r>
          </w:p>
        </w:tc>
        <w:tc>
          <w:tcPr>
            <w:tcW w:w="1001" w:type="pct"/>
            <w:tcBorders>
              <w:bottom w:val="single" w:color="auto" w:sz="12" w:space="0"/>
            </w:tcBorders>
          </w:tcPr>
          <w:p w14:paraId="6A6BB59A">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98.33</w:t>
            </w:r>
          </w:p>
        </w:tc>
        <w:tc>
          <w:tcPr>
            <w:tcW w:w="939" w:type="pct"/>
            <w:tcBorders>
              <w:bottom w:val="single" w:color="auto" w:sz="12" w:space="0"/>
            </w:tcBorders>
            <w:vAlign w:val="center"/>
          </w:tcPr>
          <w:p w14:paraId="4122D513">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88.11</w:t>
            </w:r>
          </w:p>
        </w:tc>
        <w:tc>
          <w:tcPr>
            <w:tcW w:w="1109" w:type="pct"/>
            <w:tcBorders>
              <w:bottom w:val="single" w:color="auto" w:sz="12" w:space="0"/>
            </w:tcBorders>
            <w:vAlign w:val="center"/>
          </w:tcPr>
          <w:p w14:paraId="7055049A">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99.93</w:t>
            </w:r>
          </w:p>
        </w:tc>
        <w:tc>
          <w:tcPr>
            <w:tcW w:w="904" w:type="pct"/>
            <w:tcBorders>
              <w:bottom w:val="single" w:color="auto" w:sz="12" w:space="0"/>
            </w:tcBorders>
            <w:vAlign w:val="center"/>
          </w:tcPr>
          <w:p w14:paraId="089E8BD3">
            <w:pPr>
              <w:jc w:val="center"/>
              <w:rPr>
                <w:rFonts w:hint="default" w:ascii="Times New Roman" w:hAnsi="Times New Roman" w:eastAsia="宋体" w:cs="Times New Roman"/>
                <w:kern w:val="0"/>
                <w:sz w:val="21"/>
                <w:szCs w:val="21"/>
              </w:rPr>
            </w:pPr>
            <w:r>
              <w:rPr>
                <w:rFonts w:hint="default" w:ascii="Times New Roman" w:hAnsi="Times New Roman" w:eastAsia="宋体" w:cs="Times New Roman"/>
                <w:kern w:val="0"/>
                <w:sz w:val="21"/>
                <w:szCs w:val="21"/>
              </w:rPr>
              <w:t>34.61</w:t>
            </w:r>
          </w:p>
        </w:tc>
      </w:tr>
    </w:tbl>
    <w:p w14:paraId="12A5C55B">
      <w:pPr>
        <w:spacing w:line="360" w:lineRule="auto"/>
        <w:rPr>
          <w:rFonts w:hint="default" w:ascii="Times New Roman" w:hAnsi="Times New Roman" w:cs="Times New Roman"/>
          <w:b/>
          <w:bCs/>
          <w:sz w:val="24"/>
          <w:szCs w:val="24"/>
        </w:rPr>
      </w:pPr>
    </w:p>
    <w:p w14:paraId="7C90EE46">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Table S5 BUSCO evaluation results of </w:t>
      </w:r>
      <w:bookmarkStart w:id="6" w:name="_Hlk202450011"/>
      <w:r>
        <w:rPr>
          <w:rFonts w:hint="default" w:ascii="Times New Roman" w:hAnsi="Times New Roman" w:eastAsia="宋体" w:cs="Times New Roman"/>
          <w:i/>
          <w:iCs/>
          <w:sz w:val="24"/>
          <w:szCs w:val="24"/>
        </w:rPr>
        <w:t>P. asparagi</w:t>
      </w:r>
      <w:bookmarkEnd w:id="6"/>
      <w:r>
        <w:rPr>
          <w:rFonts w:hint="default" w:ascii="Times New Roman" w:hAnsi="Times New Roman" w:eastAsia="宋体" w:cs="Times New Roman"/>
          <w:i/>
          <w:iCs/>
          <w:sz w:val="24"/>
          <w:szCs w:val="24"/>
        </w:rPr>
        <w:t xml:space="preserve"> </w:t>
      </w:r>
      <w:r>
        <w:rPr>
          <w:rFonts w:hint="default" w:ascii="Times New Roman" w:hAnsi="Times New Roman" w:eastAsia="宋体" w:cs="Times New Roman"/>
          <w:sz w:val="24"/>
          <w:szCs w:val="24"/>
        </w:rPr>
        <w:t>genome</w:t>
      </w:r>
    </w:p>
    <w:tbl>
      <w:tblPr>
        <w:tblStyle w:val="7"/>
        <w:tblW w:w="512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455"/>
        <w:gridCol w:w="1601"/>
        <w:gridCol w:w="1337"/>
        <w:gridCol w:w="1293"/>
        <w:gridCol w:w="2023"/>
        <w:gridCol w:w="1018"/>
      </w:tblGrid>
      <w:tr w14:paraId="624954B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834" w:type="pct"/>
            <w:tcBorders>
              <w:top w:val="single" w:color="auto" w:sz="12" w:space="0"/>
              <w:bottom w:val="single" w:color="auto" w:sz="6" w:space="0"/>
            </w:tcBorders>
            <w:vAlign w:val="center"/>
          </w:tcPr>
          <w:p w14:paraId="5F11F8C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Complete BUSCOs(C)</w:t>
            </w:r>
          </w:p>
        </w:tc>
        <w:tc>
          <w:tcPr>
            <w:tcW w:w="917" w:type="pct"/>
            <w:tcBorders>
              <w:top w:val="single" w:color="auto" w:sz="12" w:space="0"/>
              <w:bottom w:val="single" w:color="auto" w:sz="6" w:space="0"/>
            </w:tcBorders>
            <w:vAlign w:val="center"/>
          </w:tcPr>
          <w:p w14:paraId="4F82B69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Complete and single-copy BUSCOs(S)</w:t>
            </w:r>
          </w:p>
        </w:tc>
        <w:tc>
          <w:tcPr>
            <w:tcW w:w="766" w:type="pct"/>
            <w:tcBorders>
              <w:top w:val="single" w:color="auto" w:sz="12" w:space="0"/>
              <w:bottom w:val="single" w:color="auto" w:sz="6" w:space="0"/>
            </w:tcBorders>
            <w:vAlign w:val="center"/>
          </w:tcPr>
          <w:p w14:paraId="64A3FB8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Complete and duplicated BUSCOs(D)</w:t>
            </w:r>
          </w:p>
        </w:tc>
        <w:tc>
          <w:tcPr>
            <w:tcW w:w="741" w:type="pct"/>
            <w:tcBorders>
              <w:top w:val="single" w:color="auto" w:sz="12" w:space="0"/>
              <w:bottom w:val="single" w:color="auto" w:sz="6" w:space="0"/>
            </w:tcBorders>
            <w:vAlign w:val="center"/>
          </w:tcPr>
          <w:p w14:paraId="01F52BC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Fragmented BUSCOs(F)</w:t>
            </w:r>
          </w:p>
        </w:tc>
        <w:tc>
          <w:tcPr>
            <w:tcW w:w="1159" w:type="pct"/>
            <w:tcBorders>
              <w:top w:val="single" w:color="auto" w:sz="12" w:space="0"/>
              <w:bottom w:val="single" w:color="auto" w:sz="6" w:space="0"/>
            </w:tcBorders>
            <w:vAlign w:val="center"/>
          </w:tcPr>
          <w:p w14:paraId="359C706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Missing BUSCOs(M)</w:t>
            </w:r>
          </w:p>
        </w:tc>
        <w:tc>
          <w:tcPr>
            <w:tcW w:w="583" w:type="pct"/>
            <w:tcBorders>
              <w:top w:val="single" w:color="auto" w:sz="12" w:space="0"/>
              <w:bottom w:val="single" w:color="auto" w:sz="6" w:space="0"/>
            </w:tcBorders>
            <w:vAlign w:val="center"/>
          </w:tcPr>
          <w:p w14:paraId="4D91828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Total lineage BUSCOs</w:t>
            </w:r>
          </w:p>
        </w:tc>
      </w:tr>
      <w:tr w14:paraId="11AAB4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834" w:type="pct"/>
            <w:tcBorders>
              <w:bottom w:val="single" w:color="auto" w:sz="12" w:space="0"/>
            </w:tcBorders>
            <w:vAlign w:val="center"/>
          </w:tcPr>
          <w:p w14:paraId="32443BB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285 (98.28%)</w:t>
            </w:r>
          </w:p>
        </w:tc>
        <w:tc>
          <w:tcPr>
            <w:tcW w:w="917" w:type="pct"/>
            <w:tcBorders>
              <w:bottom w:val="single" w:color="auto" w:sz="12" w:space="0"/>
            </w:tcBorders>
            <w:vAlign w:val="center"/>
          </w:tcPr>
          <w:p w14:paraId="7EB299C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284 (97.93%)</w:t>
            </w:r>
          </w:p>
        </w:tc>
        <w:tc>
          <w:tcPr>
            <w:tcW w:w="766" w:type="pct"/>
            <w:tcBorders>
              <w:bottom w:val="single" w:color="auto" w:sz="12" w:space="0"/>
            </w:tcBorders>
            <w:vAlign w:val="center"/>
          </w:tcPr>
          <w:p w14:paraId="24C2C5D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 (0.34%)</w:t>
            </w:r>
          </w:p>
        </w:tc>
        <w:tc>
          <w:tcPr>
            <w:tcW w:w="741" w:type="pct"/>
            <w:tcBorders>
              <w:bottom w:val="single" w:color="auto" w:sz="12" w:space="0"/>
            </w:tcBorders>
            <w:vAlign w:val="center"/>
          </w:tcPr>
          <w:p w14:paraId="5F2C422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 (0.34%)</w:t>
            </w:r>
          </w:p>
        </w:tc>
        <w:tc>
          <w:tcPr>
            <w:tcW w:w="1159" w:type="pct"/>
            <w:tcBorders>
              <w:bottom w:val="single" w:color="auto" w:sz="12" w:space="0"/>
            </w:tcBorders>
            <w:vAlign w:val="center"/>
          </w:tcPr>
          <w:p w14:paraId="3FF216A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 (1.38%)</w:t>
            </w:r>
          </w:p>
        </w:tc>
        <w:tc>
          <w:tcPr>
            <w:tcW w:w="583" w:type="pct"/>
            <w:tcBorders>
              <w:bottom w:val="single" w:color="auto" w:sz="12" w:space="0"/>
            </w:tcBorders>
            <w:vAlign w:val="center"/>
          </w:tcPr>
          <w:p w14:paraId="455CBC2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290</w:t>
            </w:r>
          </w:p>
        </w:tc>
      </w:tr>
    </w:tbl>
    <w:p w14:paraId="5CD5C386">
      <w:pPr>
        <w:rPr>
          <w:rFonts w:hint="default" w:ascii="Times New Roman" w:hAnsi="Times New Roman" w:cs="Times New Roman"/>
          <w:b/>
          <w:bCs/>
          <w:sz w:val="24"/>
          <w:szCs w:val="24"/>
        </w:rPr>
      </w:pPr>
    </w:p>
    <w:p w14:paraId="0FBADBED">
      <w:pPr>
        <w:rPr>
          <w:rFonts w:hint="default" w:ascii="Times New Roman" w:hAnsi="Times New Roman" w:cs="Times New Roman"/>
          <w:b/>
          <w:bCs/>
          <w:sz w:val="24"/>
          <w:szCs w:val="24"/>
        </w:rPr>
      </w:pPr>
    </w:p>
    <w:p w14:paraId="0E93CA53">
      <w:pPr>
        <w:spacing w:line="360" w:lineRule="auto"/>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Table S6. Summary statistics of gene structure annotations in </w:t>
      </w:r>
      <w:r>
        <w:rPr>
          <w:rFonts w:hint="default" w:ascii="Times New Roman" w:hAnsi="Times New Roman" w:cs="Times New Roman"/>
          <w:i/>
          <w:iCs/>
          <w:sz w:val="24"/>
          <w:szCs w:val="24"/>
        </w:rPr>
        <w:t xml:space="preserve">P. asparagi </w:t>
      </w:r>
      <w:r>
        <w:rPr>
          <w:rFonts w:hint="default" w:ascii="Times New Roman" w:hAnsi="Times New Roman" w:eastAsia="宋体" w:cs="Times New Roman"/>
          <w:sz w:val="24"/>
          <w:szCs w:val="24"/>
        </w:rPr>
        <w:t>genome</w:t>
      </w: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866"/>
        <w:gridCol w:w="2693"/>
        <w:gridCol w:w="2546"/>
        <w:gridCol w:w="1417"/>
      </w:tblGrid>
      <w:tr w14:paraId="5E9238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1" w:hRule="atLeast"/>
          <w:jc w:val="center"/>
        </w:trPr>
        <w:tc>
          <w:tcPr>
            <w:tcW w:w="1095" w:type="pct"/>
            <w:tcBorders>
              <w:top w:val="single" w:color="auto" w:sz="12" w:space="0"/>
              <w:bottom w:val="single" w:color="auto" w:sz="6" w:space="0"/>
            </w:tcBorders>
            <w:vAlign w:val="center"/>
          </w:tcPr>
          <w:p w14:paraId="56C5809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Method</w:t>
            </w:r>
          </w:p>
        </w:tc>
        <w:tc>
          <w:tcPr>
            <w:tcW w:w="1580" w:type="pct"/>
            <w:tcBorders>
              <w:top w:val="single" w:color="auto" w:sz="12" w:space="0"/>
              <w:bottom w:val="single" w:color="auto" w:sz="6" w:space="0"/>
            </w:tcBorders>
            <w:vAlign w:val="center"/>
          </w:tcPr>
          <w:p w14:paraId="71E3ABD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Software</w:t>
            </w:r>
          </w:p>
        </w:tc>
        <w:tc>
          <w:tcPr>
            <w:tcW w:w="1494" w:type="pct"/>
            <w:tcBorders>
              <w:top w:val="single" w:color="auto" w:sz="12" w:space="0"/>
              <w:bottom w:val="single" w:color="auto" w:sz="6" w:space="0"/>
            </w:tcBorders>
            <w:vAlign w:val="center"/>
          </w:tcPr>
          <w:p w14:paraId="46439E9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Species</w:t>
            </w:r>
          </w:p>
        </w:tc>
        <w:tc>
          <w:tcPr>
            <w:tcW w:w="831" w:type="pct"/>
            <w:tcBorders>
              <w:top w:val="single" w:color="auto" w:sz="12" w:space="0"/>
              <w:bottom w:val="single" w:color="auto" w:sz="6" w:space="0"/>
            </w:tcBorders>
            <w:vAlign w:val="center"/>
          </w:tcPr>
          <w:p w14:paraId="2B28A25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 xml:space="preserve">Gene </w:t>
            </w:r>
          </w:p>
          <w:p w14:paraId="50E7902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number</w:t>
            </w:r>
          </w:p>
        </w:tc>
      </w:tr>
      <w:tr w14:paraId="33CBB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tcBorders>
              <w:top w:val="single" w:color="auto" w:sz="6" w:space="0"/>
            </w:tcBorders>
            <w:vAlign w:val="center"/>
          </w:tcPr>
          <w:p w14:paraId="2A7F3B07">
            <w:pPr>
              <w:jc w:val="center"/>
              <w:rPr>
                <w:rFonts w:hint="default" w:ascii="Times New Roman" w:hAnsi="Times New Roman" w:eastAsia="宋体" w:cs="Times New Roman"/>
                <w:b w:val="0"/>
                <w:bCs w:val="0"/>
                <w:i/>
                <w:iCs/>
                <w:kern w:val="0"/>
                <w:sz w:val="21"/>
                <w:szCs w:val="21"/>
              </w:rPr>
            </w:pPr>
            <w:r>
              <w:rPr>
                <w:rFonts w:hint="default" w:ascii="Times New Roman" w:hAnsi="Times New Roman" w:eastAsia="宋体" w:cs="Times New Roman"/>
                <w:b w:val="0"/>
                <w:bCs w:val="0"/>
                <w:i/>
                <w:iCs/>
                <w:kern w:val="0"/>
                <w:sz w:val="21"/>
                <w:szCs w:val="21"/>
              </w:rPr>
              <w:t>Ab initio based</w:t>
            </w:r>
          </w:p>
        </w:tc>
        <w:tc>
          <w:tcPr>
            <w:tcW w:w="1580" w:type="pct"/>
            <w:tcBorders>
              <w:top w:val="single" w:color="auto" w:sz="6" w:space="0"/>
            </w:tcBorders>
            <w:vAlign w:val="center"/>
          </w:tcPr>
          <w:p w14:paraId="6E083F8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AUGUSTUS</w:t>
            </w:r>
          </w:p>
        </w:tc>
        <w:tc>
          <w:tcPr>
            <w:tcW w:w="1494" w:type="pct"/>
            <w:tcBorders>
              <w:top w:val="single" w:color="auto" w:sz="6" w:space="0"/>
            </w:tcBorders>
            <w:vAlign w:val="center"/>
          </w:tcPr>
          <w:p w14:paraId="4D790809">
            <w:pPr>
              <w:jc w:val="center"/>
              <w:rPr>
                <w:rFonts w:hint="default" w:ascii="Times New Roman" w:hAnsi="Times New Roman" w:eastAsia="宋体" w:cs="Times New Roman"/>
                <w:b w:val="0"/>
                <w:bCs w:val="0"/>
                <w:kern w:val="0"/>
                <w:sz w:val="21"/>
                <w:szCs w:val="21"/>
              </w:rPr>
            </w:pPr>
          </w:p>
        </w:tc>
        <w:tc>
          <w:tcPr>
            <w:tcW w:w="831" w:type="pct"/>
            <w:tcBorders>
              <w:top w:val="single" w:color="auto" w:sz="6" w:space="0"/>
            </w:tcBorders>
            <w:vAlign w:val="center"/>
          </w:tcPr>
          <w:p w14:paraId="373628E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11,364</w:t>
            </w:r>
          </w:p>
        </w:tc>
      </w:tr>
      <w:tr w14:paraId="62988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29D39DBE">
            <w:pPr>
              <w:jc w:val="center"/>
              <w:rPr>
                <w:rFonts w:hint="default" w:ascii="Times New Roman" w:hAnsi="Times New Roman" w:eastAsia="宋体" w:cs="Times New Roman"/>
                <w:b w:val="0"/>
                <w:bCs w:val="0"/>
                <w:kern w:val="0"/>
                <w:sz w:val="21"/>
                <w:szCs w:val="21"/>
              </w:rPr>
            </w:pPr>
          </w:p>
        </w:tc>
        <w:tc>
          <w:tcPr>
            <w:tcW w:w="1580" w:type="pct"/>
            <w:vAlign w:val="center"/>
          </w:tcPr>
          <w:p w14:paraId="3657487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Genscan</w:t>
            </w:r>
          </w:p>
        </w:tc>
        <w:tc>
          <w:tcPr>
            <w:tcW w:w="1494" w:type="pct"/>
            <w:vAlign w:val="center"/>
          </w:tcPr>
          <w:p w14:paraId="4D838074">
            <w:pPr>
              <w:jc w:val="center"/>
              <w:rPr>
                <w:rFonts w:hint="default" w:ascii="Times New Roman" w:hAnsi="Times New Roman" w:eastAsia="宋体" w:cs="Times New Roman"/>
                <w:b w:val="0"/>
                <w:bCs w:val="0"/>
                <w:kern w:val="0"/>
                <w:sz w:val="21"/>
                <w:szCs w:val="21"/>
              </w:rPr>
            </w:pPr>
          </w:p>
        </w:tc>
        <w:tc>
          <w:tcPr>
            <w:tcW w:w="831" w:type="pct"/>
            <w:vAlign w:val="center"/>
          </w:tcPr>
          <w:p w14:paraId="48E3B4B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11,918</w:t>
            </w:r>
          </w:p>
        </w:tc>
      </w:tr>
      <w:tr w14:paraId="5D568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1102548F">
            <w:pPr>
              <w:jc w:val="center"/>
              <w:rPr>
                <w:rFonts w:hint="default" w:ascii="Times New Roman" w:hAnsi="Times New Roman" w:eastAsia="宋体" w:cs="Times New Roman"/>
                <w:b w:val="0"/>
                <w:bCs w:val="0"/>
                <w:kern w:val="0"/>
                <w:sz w:val="21"/>
                <w:szCs w:val="21"/>
              </w:rPr>
            </w:pPr>
          </w:p>
        </w:tc>
        <w:tc>
          <w:tcPr>
            <w:tcW w:w="1580" w:type="pct"/>
            <w:vAlign w:val="center"/>
          </w:tcPr>
          <w:p w14:paraId="21729BD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GeneID</w:t>
            </w:r>
          </w:p>
        </w:tc>
        <w:tc>
          <w:tcPr>
            <w:tcW w:w="1494" w:type="pct"/>
            <w:vAlign w:val="center"/>
          </w:tcPr>
          <w:p w14:paraId="44D128D3">
            <w:pPr>
              <w:jc w:val="center"/>
              <w:rPr>
                <w:rFonts w:hint="default" w:ascii="Times New Roman" w:hAnsi="Times New Roman" w:eastAsia="宋体" w:cs="Times New Roman"/>
                <w:b w:val="0"/>
                <w:bCs w:val="0"/>
                <w:i/>
                <w:iCs/>
                <w:kern w:val="0"/>
                <w:sz w:val="21"/>
                <w:szCs w:val="21"/>
              </w:rPr>
            </w:pPr>
          </w:p>
        </w:tc>
        <w:tc>
          <w:tcPr>
            <w:tcW w:w="831" w:type="pct"/>
            <w:vAlign w:val="center"/>
          </w:tcPr>
          <w:p w14:paraId="2717F67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21,159</w:t>
            </w:r>
          </w:p>
        </w:tc>
      </w:tr>
      <w:tr w14:paraId="3A2DBF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5B308874">
            <w:pPr>
              <w:jc w:val="center"/>
              <w:rPr>
                <w:rFonts w:hint="default" w:ascii="Times New Roman" w:hAnsi="Times New Roman" w:eastAsia="宋体" w:cs="Times New Roman"/>
                <w:b w:val="0"/>
                <w:bCs w:val="0"/>
                <w:kern w:val="0"/>
                <w:sz w:val="21"/>
                <w:szCs w:val="21"/>
              </w:rPr>
            </w:pPr>
          </w:p>
        </w:tc>
        <w:tc>
          <w:tcPr>
            <w:tcW w:w="1580" w:type="pct"/>
            <w:vAlign w:val="center"/>
          </w:tcPr>
          <w:p w14:paraId="6FEFB2E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GlimmerHMM</w:t>
            </w:r>
          </w:p>
        </w:tc>
        <w:tc>
          <w:tcPr>
            <w:tcW w:w="1494" w:type="pct"/>
            <w:vAlign w:val="center"/>
          </w:tcPr>
          <w:p w14:paraId="59AEAC1E">
            <w:pPr>
              <w:jc w:val="center"/>
              <w:rPr>
                <w:rFonts w:hint="default" w:ascii="Times New Roman" w:hAnsi="Times New Roman" w:eastAsia="宋体" w:cs="Times New Roman"/>
                <w:b w:val="0"/>
                <w:bCs w:val="0"/>
                <w:i/>
                <w:iCs/>
                <w:kern w:val="0"/>
                <w:sz w:val="21"/>
                <w:szCs w:val="21"/>
              </w:rPr>
            </w:pPr>
          </w:p>
        </w:tc>
        <w:tc>
          <w:tcPr>
            <w:tcW w:w="831" w:type="pct"/>
            <w:vAlign w:val="center"/>
          </w:tcPr>
          <w:p w14:paraId="1D0DEC4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14,084</w:t>
            </w:r>
          </w:p>
        </w:tc>
      </w:tr>
      <w:tr w14:paraId="58ADEF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0820FFF1">
            <w:pPr>
              <w:jc w:val="center"/>
              <w:rPr>
                <w:rFonts w:hint="default" w:ascii="Times New Roman" w:hAnsi="Times New Roman" w:eastAsia="宋体" w:cs="Times New Roman"/>
                <w:b w:val="0"/>
                <w:bCs w:val="0"/>
                <w:kern w:val="0"/>
                <w:sz w:val="21"/>
                <w:szCs w:val="21"/>
              </w:rPr>
            </w:pPr>
          </w:p>
        </w:tc>
        <w:tc>
          <w:tcPr>
            <w:tcW w:w="1580" w:type="pct"/>
            <w:vAlign w:val="center"/>
          </w:tcPr>
          <w:p w14:paraId="75076AF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SNAP</w:t>
            </w:r>
          </w:p>
        </w:tc>
        <w:tc>
          <w:tcPr>
            <w:tcW w:w="1494" w:type="pct"/>
            <w:vAlign w:val="center"/>
          </w:tcPr>
          <w:p w14:paraId="389F31DD">
            <w:pPr>
              <w:jc w:val="center"/>
              <w:rPr>
                <w:rFonts w:hint="default" w:ascii="Times New Roman" w:hAnsi="Times New Roman" w:eastAsia="宋体" w:cs="Times New Roman"/>
                <w:b w:val="0"/>
                <w:bCs w:val="0"/>
                <w:i/>
                <w:iCs/>
                <w:kern w:val="0"/>
                <w:sz w:val="21"/>
                <w:szCs w:val="21"/>
              </w:rPr>
            </w:pPr>
          </w:p>
        </w:tc>
        <w:tc>
          <w:tcPr>
            <w:tcW w:w="831" w:type="pct"/>
            <w:vAlign w:val="center"/>
          </w:tcPr>
          <w:p w14:paraId="4E48C4A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15,308</w:t>
            </w:r>
          </w:p>
        </w:tc>
      </w:tr>
      <w:tr w14:paraId="783BC7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23B977A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RNAseq based</w:t>
            </w:r>
          </w:p>
        </w:tc>
        <w:tc>
          <w:tcPr>
            <w:tcW w:w="1580" w:type="pct"/>
            <w:vAlign w:val="center"/>
          </w:tcPr>
          <w:p w14:paraId="1D30340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PASA</w:t>
            </w:r>
          </w:p>
        </w:tc>
        <w:tc>
          <w:tcPr>
            <w:tcW w:w="1494" w:type="pct"/>
            <w:vAlign w:val="center"/>
          </w:tcPr>
          <w:p w14:paraId="5D48119B">
            <w:pPr>
              <w:jc w:val="center"/>
              <w:rPr>
                <w:rFonts w:hint="default" w:ascii="Times New Roman" w:hAnsi="Times New Roman" w:eastAsia="宋体" w:cs="Times New Roman"/>
                <w:b w:val="0"/>
                <w:bCs w:val="0"/>
                <w:i/>
                <w:iCs/>
                <w:kern w:val="0"/>
                <w:sz w:val="21"/>
                <w:szCs w:val="21"/>
              </w:rPr>
            </w:pPr>
          </w:p>
        </w:tc>
        <w:tc>
          <w:tcPr>
            <w:tcW w:w="831" w:type="pct"/>
            <w:vAlign w:val="center"/>
          </w:tcPr>
          <w:p w14:paraId="30D8623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19,519</w:t>
            </w:r>
          </w:p>
        </w:tc>
      </w:tr>
      <w:tr w14:paraId="53F5E9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285F2B7E">
            <w:pPr>
              <w:jc w:val="center"/>
              <w:rPr>
                <w:rFonts w:hint="default" w:ascii="Times New Roman" w:hAnsi="Times New Roman" w:eastAsia="宋体" w:cs="Times New Roman"/>
                <w:b w:val="0"/>
                <w:bCs w:val="0"/>
                <w:kern w:val="0"/>
                <w:sz w:val="21"/>
                <w:szCs w:val="21"/>
              </w:rPr>
            </w:pPr>
          </w:p>
        </w:tc>
        <w:tc>
          <w:tcPr>
            <w:tcW w:w="1580" w:type="pct"/>
            <w:vAlign w:val="center"/>
          </w:tcPr>
          <w:p w14:paraId="66145AE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TransDecoder</w:t>
            </w:r>
          </w:p>
        </w:tc>
        <w:tc>
          <w:tcPr>
            <w:tcW w:w="1494" w:type="pct"/>
            <w:vAlign w:val="center"/>
          </w:tcPr>
          <w:p w14:paraId="35F08A31">
            <w:pPr>
              <w:jc w:val="center"/>
              <w:rPr>
                <w:rFonts w:hint="default" w:ascii="Times New Roman" w:hAnsi="Times New Roman" w:eastAsia="宋体" w:cs="Times New Roman"/>
                <w:b w:val="0"/>
                <w:bCs w:val="0"/>
                <w:i/>
                <w:iCs/>
                <w:kern w:val="0"/>
                <w:sz w:val="21"/>
                <w:szCs w:val="21"/>
              </w:rPr>
            </w:pPr>
          </w:p>
        </w:tc>
        <w:tc>
          <w:tcPr>
            <w:tcW w:w="831" w:type="pct"/>
            <w:vAlign w:val="center"/>
          </w:tcPr>
          <w:p w14:paraId="67F242B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32,913</w:t>
            </w:r>
          </w:p>
        </w:tc>
      </w:tr>
      <w:tr w14:paraId="3254D0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1C0AD15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Homology-based</w:t>
            </w:r>
          </w:p>
        </w:tc>
        <w:tc>
          <w:tcPr>
            <w:tcW w:w="1580" w:type="pct"/>
            <w:vAlign w:val="center"/>
          </w:tcPr>
          <w:p w14:paraId="660E2FF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GeMoMa</w:t>
            </w:r>
          </w:p>
        </w:tc>
        <w:tc>
          <w:tcPr>
            <w:tcW w:w="1494" w:type="pct"/>
            <w:vAlign w:val="center"/>
          </w:tcPr>
          <w:p w14:paraId="49537232">
            <w:pPr>
              <w:jc w:val="center"/>
              <w:rPr>
                <w:rFonts w:hint="default" w:ascii="Times New Roman" w:hAnsi="Times New Roman" w:eastAsia="宋体" w:cs="Times New Roman"/>
                <w:b w:val="0"/>
                <w:bCs w:val="0"/>
                <w:i/>
                <w:iCs/>
                <w:kern w:val="0"/>
                <w:sz w:val="21"/>
                <w:szCs w:val="21"/>
              </w:rPr>
            </w:pPr>
            <w:r>
              <w:rPr>
                <w:rFonts w:hint="default" w:ascii="Times New Roman" w:hAnsi="Times New Roman" w:eastAsia="宋体" w:cs="Times New Roman"/>
                <w:b w:val="0"/>
                <w:bCs w:val="0"/>
                <w:i/>
                <w:iCs/>
                <w:kern w:val="0"/>
                <w:sz w:val="21"/>
                <w:szCs w:val="21"/>
              </w:rPr>
              <w:t>Cytospora leucostoma</w:t>
            </w:r>
          </w:p>
        </w:tc>
        <w:tc>
          <w:tcPr>
            <w:tcW w:w="831" w:type="pct"/>
            <w:vAlign w:val="center"/>
          </w:tcPr>
          <w:p w14:paraId="2150C2F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9,833</w:t>
            </w:r>
          </w:p>
        </w:tc>
      </w:tr>
      <w:tr w14:paraId="4F2FF6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7AC9FD3C">
            <w:pPr>
              <w:jc w:val="center"/>
              <w:rPr>
                <w:rFonts w:hint="default" w:ascii="Times New Roman" w:hAnsi="Times New Roman" w:eastAsia="宋体" w:cs="Times New Roman"/>
                <w:b w:val="0"/>
                <w:bCs w:val="0"/>
                <w:kern w:val="0"/>
                <w:sz w:val="21"/>
                <w:szCs w:val="21"/>
              </w:rPr>
            </w:pPr>
          </w:p>
        </w:tc>
        <w:tc>
          <w:tcPr>
            <w:tcW w:w="1580" w:type="pct"/>
            <w:vAlign w:val="center"/>
          </w:tcPr>
          <w:p w14:paraId="3204E04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 xml:space="preserve">                                                         </w:t>
            </w:r>
          </w:p>
        </w:tc>
        <w:tc>
          <w:tcPr>
            <w:tcW w:w="1494" w:type="pct"/>
            <w:vAlign w:val="center"/>
          </w:tcPr>
          <w:p w14:paraId="001C0864">
            <w:pPr>
              <w:jc w:val="center"/>
              <w:rPr>
                <w:rFonts w:hint="default" w:ascii="Times New Roman" w:hAnsi="Times New Roman" w:eastAsia="宋体" w:cs="Times New Roman"/>
                <w:b w:val="0"/>
                <w:bCs w:val="0"/>
                <w:i/>
                <w:iCs/>
                <w:kern w:val="0"/>
                <w:sz w:val="21"/>
                <w:szCs w:val="21"/>
              </w:rPr>
            </w:pPr>
            <w:r>
              <w:rPr>
                <w:rFonts w:hint="default" w:ascii="Times New Roman" w:hAnsi="Times New Roman" w:eastAsia="宋体" w:cs="Times New Roman"/>
                <w:b w:val="0"/>
                <w:bCs w:val="0"/>
                <w:i/>
                <w:iCs/>
                <w:kern w:val="0"/>
                <w:sz w:val="21"/>
                <w:szCs w:val="21"/>
              </w:rPr>
              <w:t>Valsa mali</w:t>
            </w:r>
          </w:p>
        </w:tc>
        <w:tc>
          <w:tcPr>
            <w:tcW w:w="831" w:type="pct"/>
            <w:vAlign w:val="center"/>
          </w:tcPr>
          <w:p w14:paraId="4E7A919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10,500</w:t>
            </w:r>
          </w:p>
        </w:tc>
      </w:tr>
      <w:tr w14:paraId="7656DF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vAlign w:val="center"/>
          </w:tcPr>
          <w:p w14:paraId="7E068D13">
            <w:pPr>
              <w:jc w:val="center"/>
              <w:rPr>
                <w:rFonts w:hint="default" w:ascii="Times New Roman" w:hAnsi="Times New Roman" w:eastAsia="宋体" w:cs="Times New Roman"/>
                <w:b w:val="0"/>
                <w:bCs w:val="0"/>
                <w:kern w:val="0"/>
                <w:sz w:val="21"/>
                <w:szCs w:val="21"/>
              </w:rPr>
            </w:pPr>
          </w:p>
        </w:tc>
        <w:tc>
          <w:tcPr>
            <w:tcW w:w="1580" w:type="pct"/>
            <w:vAlign w:val="center"/>
          </w:tcPr>
          <w:p w14:paraId="5C5F08F6">
            <w:pPr>
              <w:jc w:val="center"/>
              <w:rPr>
                <w:rFonts w:hint="default" w:ascii="Times New Roman" w:hAnsi="Times New Roman" w:eastAsia="宋体" w:cs="Times New Roman"/>
                <w:b w:val="0"/>
                <w:bCs w:val="0"/>
                <w:kern w:val="0"/>
                <w:sz w:val="21"/>
                <w:szCs w:val="21"/>
              </w:rPr>
            </w:pPr>
          </w:p>
        </w:tc>
        <w:tc>
          <w:tcPr>
            <w:tcW w:w="1494" w:type="pct"/>
            <w:vAlign w:val="center"/>
          </w:tcPr>
          <w:p w14:paraId="44E7B755">
            <w:pPr>
              <w:jc w:val="center"/>
              <w:rPr>
                <w:rFonts w:hint="default" w:ascii="Times New Roman" w:hAnsi="Times New Roman" w:eastAsia="宋体" w:cs="Times New Roman"/>
                <w:b w:val="0"/>
                <w:bCs w:val="0"/>
                <w:i/>
                <w:iCs/>
                <w:kern w:val="0"/>
                <w:sz w:val="21"/>
                <w:szCs w:val="21"/>
              </w:rPr>
            </w:pPr>
            <w:r>
              <w:rPr>
                <w:rFonts w:hint="default" w:ascii="Times New Roman" w:hAnsi="Times New Roman" w:eastAsia="宋体" w:cs="Times New Roman"/>
                <w:b w:val="0"/>
                <w:bCs w:val="0"/>
                <w:i/>
                <w:iCs/>
                <w:kern w:val="0"/>
                <w:sz w:val="21"/>
                <w:szCs w:val="21"/>
              </w:rPr>
              <w:t>Valsa sordida</w:t>
            </w:r>
          </w:p>
        </w:tc>
        <w:tc>
          <w:tcPr>
            <w:tcW w:w="831" w:type="pct"/>
            <w:vAlign w:val="center"/>
          </w:tcPr>
          <w:p w14:paraId="08711C4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9,635</w:t>
            </w:r>
          </w:p>
        </w:tc>
      </w:tr>
      <w:tr w14:paraId="712823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95" w:type="pct"/>
            <w:tcBorders>
              <w:bottom w:val="single" w:color="auto" w:sz="12" w:space="0"/>
            </w:tcBorders>
            <w:vAlign w:val="center"/>
          </w:tcPr>
          <w:p w14:paraId="7DC0A0E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Integration</w:t>
            </w:r>
          </w:p>
        </w:tc>
        <w:tc>
          <w:tcPr>
            <w:tcW w:w="1580" w:type="pct"/>
            <w:tcBorders>
              <w:bottom w:val="single" w:color="auto" w:sz="12" w:space="0"/>
            </w:tcBorders>
            <w:vAlign w:val="center"/>
          </w:tcPr>
          <w:p w14:paraId="61EA80E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EvidenceModeler</w:t>
            </w:r>
          </w:p>
        </w:tc>
        <w:tc>
          <w:tcPr>
            <w:tcW w:w="1494" w:type="pct"/>
            <w:tcBorders>
              <w:bottom w:val="single" w:color="auto" w:sz="12" w:space="0"/>
            </w:tcBorders>
            <w:vAlign w:val="center"/>
          </w:tcPr>
          <w:p w14:paraId="7C612CC2">
            <w:pPr>
              <w:jc w:val="center"/>
              <w:rPr>
                <w:rFonts w:hint="default" w:ascii="Times New Roman" w:hAnsi="Times New Roman" w:eastAsia="宋体" w:cs="Times New Roman"/>
                <w:b w:val="0"/>
                <w:bCs w:val="0"/>
                <w:kern w:val="0"/>
                <w:sz w:val="21"/>
                <w:szCs w:val="21"/>
              </w:rPr>
            </w:pPr>
          </w:p>
        </w:tc>
        <w:tc>
          <w:tcPr>
            <w:tcW w:w="831" w:type="pct"/>
            <w:tcBorders>
              <w:bottom w:val="single" w:color="auto" w:sz="12" w:space="0"/>
            </w:tcBorders>
            <w:vAlign w:val="center"/>
          </w:tcPr>
          <w:p w14:paraId="36FF09C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33,796</w:t>
            </w:r>
          </w:p>
        </w:tc>
      </w:tr>
    </w:tbl>
    <w:p w14:paraId="2BE46657">
      <w:pPr>
        <w:rPr>
          <w:rFonts w:hint="default" w:ascii="Times New Roman" w:hAnsi="Times New Roman" w:cs="Times New Roman"/>
          <w:b/>
          <w:bCs/>
          <w:sz w:val="24"/>
          <w:szCs w:val="24"/>
        </w:rPr>
      </w:pPr>
      <w:r>
        <w:rPr>
          <w:rFonts w:hint="default" w:ascii="Times New Roman" w:hAnsi="Times New Roman" w:cs="Times New Roman"/>
          <w:b/>
          <w:bCs/>
          <w:sz w:val="24"/>
          <w:szCs w:val="24"/>
        </w:rPr>
        <w:br w:type="page"/>
      </w:r>
    </w:p>
    <w:p w14:paraId="7436EBBF">
      <w:pPr>
        <w:spacing w:line="360" w:lineRule="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Table S7. </w:t>
      </w:r>
      <w:bookmarkStart w:id="7" w:name="_Hlk191724616"/>
      <w:r>
        <w:rPr>
          <w:rFonts w:hint="default" w:ascii="Times New Roman" w:hAnsi="Times New Roman" w:eastAsia="宋体" w:cs="Times New Roman"/>
          <w:sz w:val="24"/>
          <w:szCs w:val="24"/>
        </w:rPr>
        <w:t xml:space="preserve">Summary statistics for repetitive element annotations in the </w:t>
      </w:r>
      <w:r>
        <w:rPr>
          <w:rFonts w:hint="default" w:ascii="Times New Roman" w:hAnsi="Times New Roman" w:eastAsia="宋体" w:cs="Times New Roman"/>
          <w:i/>
          <w:iCs/>
          <w:sz w:val="24"/>
          <w:szCs w:val="24"/>
        </w:rPr>
        <w:t>P. asparagi</w:t>
      </w:r>
      <w:r>
        <w:rPr>
          <w:rFonts w:hint="default" w:ascii="Times New Roman" w:hAnsi="Times New Roman" w:eastAsia="宋体" w:cs="Times New Roman"/>
          <w:sz w:val="24"/>
          <w:szCs w:val="24"/>
        </w:rPr>
        <w:t xml:space="preserve"> genome</w:t>
      </w:r>
      <w:bookmarkEnd w:id="7"/>
    </w:p>
    <w:tbl>
      <w:tblPr>
        <w:tblStyle w:val="7"/>
        <w:tblW w:w="512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46"/>
        <w:gridCol w:w="1019"/>
        <w:gridCol w:w="1309"/>
        <w:gridCol w:w="1621"/>
        <w:gridCol w:w="1459"/>
        <w:gridCol w:w="1573"/>
      </w:tblGrid>
      <w:tr w14:paraId="518860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6" w:hRule="atLeast"/>
          <w:jc w:val="center"/>
        </w:trPr>
        <w:tc>
          <w:tcPr>
            <w:tcW w:w="2334" w:type="pct"/>
            <w:gridSpan w:val="3"/>
            <w:tcBorders>
              <w:top w:val="single" w:color="auto" w:sz="12" w:space="0"/>
              <w:bottom w:val="single" w:color="auto" w:sz="6" w:space="0"/>
            </w:tcBorders>
            <w:vAlign w:val="center"/>
          </w:tcPr>
          <w:p w14:paraId="79FEFDE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Type</w:t>
            </w:r>
          </w:p>
        </w:tc>
        <w:tc>
          <w:tcPr>
            <w:tcW w:w="929" w:type="pct"/>
            <w:tcBorders>
              <w:top w:val="single" w:color="auto" w:sz="12" w:space="0"/>
              <w:bottom w:val="single" w:color="auto" w:sz="6" w:space="0"/>
            </w:tcBorders>
            <w:vAlign w:val="center"/>
          </w:tcPr>
          <w:p w14:paraId="465FD9D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Number</w:t>
            </w:r>
          </w:p>
        </w:tc>
        <w:tc>
          <w:tcPr>
            <w:tcW w:w="836" w:type="pct"/>
            <w:tcBorders>
              <w:top w:val="single" w:color="auto" w:sz="12" w:space="0"/>
              <w:bottom w:val="single" w:color="auto" w:sz="6" w:space="0"/>
            </w:tcBorders>
            <w:vAlign w:val="center"/>
          </w:tcPr>
          <w:p w14:paraId="6634F33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Length (bp)</w:t>
            </w:r>
          </w:p>
        </w:tc>
        <w:tc>
          <w:tcPr>
            <w:tcW w:w="901" w:type="pct"/>
            <w:tcBorders>
              <w:top w:val="single" w:color="auto" w:sz="12" w:space="0"/>
              <w:bottom w:val="single" w:color="auto" w:sz="6" w:space="0"/>
            </w:tcBorders>
            <w:vAlign w:val="center"/>
          </w:tcPr>
          <w:p w14:paraId="18640E6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 in genome</w:t>
            </w:r>
          </w:p>
        </w:tc>
      </w:tr>
      <w:tr w14:paraId="02689E2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restart"/>
            <w:tcBorders>
              <w:top w:val="single" w:color="auto" w:sz="6" w:space="0"/>
            </w:tcBorders>
          </w:tcPr>
          <w:p w14:paraId="77FC2F9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Class Ⅰ</w:t>
            </w:r>
          </w:p>
        </w:tc>
        <w:tc>
          <w:tcPr>
            <w:tcW w:w="584" w:type="pct"/>
            <w:vMerge w:val="restart"/>
            <w:tcBorders>
              <w:top w:val="single" w:color="auto" w:sz="6" w:space="0"/>
            </w:tcBorders>
          </w:tcPr>
          <w:p w14:paraId="20BA30C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LTR</w:t>
            </w:r>
          </w:p>
        </w:tc>
        <w:tc>
          <w:tcPr>
            <w:tcW w:w="750" w:type="pct"/>
            <w:tcBorders>
              <w:top w:val="single" w:color="auto" w:sz="6" w:space="0"/>
            </w:tcBorders>
            <w:vAlign w:val="center"/>
          </w:tcPr>
          <w:p w14:paraId="21EE57C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i/>
                <w:iCs/>
                <w:kern w:val="0"/>
                <w:sz w:val="21"/>
                <w:szCs w:val="21"/>
              </w:rPr>
              <w:t>Copia</w:t>
            </w:r>
          </w:p>
        </w:tc>
        <w:tc>
          <w:tcPr>
            <w:tcW w:w="929" w:type="pct"/>
            <w:tcBorders>
              <w:top w:val="single" w:color="auto" w:sz="6" w:space="0"/>
            </w:tcBorders>
            <w:vAlign w:val="center"/>
          </w:tcPr>
          <w:p w14:paraId="4FAA2F1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1,435</w:t>
            </w:r>
          </w:p>
        </w:tc>
        <w:tc>
          <w:tcPr>
            <w:tcW w:w="836" w:type="pct"/>
            <w:tcBorders>
              <w:top w:val="single" w:color="auto" w:sz="6" w:space="0"/>
            </w:tcBorders>
            <w:vAlign w:val="center"/>
          </w:tcPr>
          <w:p w14:paraId="4EDCFE8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3,839,833</w:t>
            </w:r>
          </w:p>
        </w:tc>
        <w:tc>
          <w:tcPr>
            <w:tcW w:w="901" w:type="pct"/>
            <w:tcBorders>
              <w:top w:val="single" w:color="auto" w:sz="6" w:space="0"/>
            </w:tcBorders>
            <w:vAlign w:val="center"/>
          </w:tcPr>
          <w:p w14:paraId="0F1DB9A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4.30</w:t>
            </w:r>
          </w:p>
        </w:tc>
      </w:tr>
      <w:tr w14:paraId="17A70C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02890203">
            <w:pPr>
              <w:jc w:val="center"/>
              <w:rPr>
                <w:rFonts w:hint="default" w:ascii="Times New Roman" w:hAnsi="Times New Roman" w:eastAsia="宋体" w:cs="Times New Roman"/>
                <w:b w:val="0"/>
                <w:bCs w:val="0"/>
                <w:kern w:val="0"/>
                <w:sz w:val="21"/>
                <w:szCs w:val="21"/>
              </w:rPr>
            </w:pPr>
          </w:p>
        </w:tc>
        <w:tc>
          <w:tcPr>
            <w:tcW w:w="584" w:type="pct"/>
            <w:vMerge w:val="continue"/>
          </w:tcPr>
          <w:p w14:paraId="5D1EE284">
            <w:pPr>
              <w:jc w:val="center"/>
              <w:rPr>
                <w:rFonts w:hint="default" w:ascii="Times New Roman" w:hAnsi="Times New Roman" w:eastAsia="宋体" w:cs="Times New Roman"/>
                <w:b w:val="0"/>
                <w:bCs w:val="0"/>
                <w:kern w:val="0"/>
                <w:sz w:val="21"/>
                <w:szCs w:val="21"/>
              </w:rPr>
            </w:pPr>
          </w:p>
        </w:tc>
        <w:tc>
          <w:tcPr>
            <w:tcW w:w="750" w:type="pct"/>
            <w:vAlign w:val="center"/>
          </w:tcPr>
          <w:p w14:paraId="04E4BFF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Gypsy</w:t>
            </w:r>
          </w:p>
        </w:tc>
        <w:tc>
          <w:tcPr>
            <w:tcW w:w="929" w:type="pct"/>
            <w:vAlign w:val="center"/>
          </w:tcPr>
          <w:p w14:paraId="56A5F72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540</w:t>
            </w:r>
          </w:p>
        </w:tc>
        <w:tc>
          <w:tcPr>
            <w:tcW w:w="836" w:type="pct"/>
            <w:vAlign w:val="center"/>
          </w:tcPr>
          <w:p w14:paraId="3808178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1,739,264</w:t>
            </w:r>
          </w:p>
        </w:tc>
        <w:tc>
          <w:tcPr>
            <w:tcW w:w="901" w:type="pct"/>
            <w:vAlign w:val="center"/>
          </w:tcPr>
          <w:p w14:paraId="297C110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1.95</w:t>
            </w:r>
          </w:p>
        </w:tc>
      </w:tr>
      <w:tr w14:paraId="066153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7E9AFA22">
            <w:pPr>
              <w:jc w:val="center"/>
              <w:rPr>
                <w:rFonts w:hint="default" w:ascii="Times New Roman" w:hAnsi="Times New Roman" w:eastAsia="宋体" w:cs="Times New Roman"/>
                <w:b w:val="0"/>
                <w:bCs w:val="0"/>
                <w:kern w:val="0"/>
                <w:sz w:val="21"/>
                <w:szCs w:val="21"/>
              </w:rPr>
            </w:pPr>
          </w:p>
        </w:tc>
        <w:tc>
          <w:tcPr>
            <w:tcW w:w="584" w:type="pct"/>
            <w:vMerge w:val="restart"/>
          </w:tcPr>
          <w:p w14:paraId="1A7ADF2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nonLTR</w:t>
            </w:r>
          </w:p>
        </w:tc>
        <w:tc>
          <w:tcPr>
            <w:tcW w:w="750" w:type="pct"/>
            <w:vAlign w:val="center"/>
          </w:tcPr>
          <w:p w14:paraId="76D02EF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DIRS</w:t>
            </w:r>
          </w:p>
        </w:tc>
        <w:tc>
          <w:tcPr>
            <w:tcW w:w="929" w:type="pct"/>
            <w:vAlign w:val="center"/>
          </w:tcPr>
          <w:p w14:paraId="2BA78CD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240</w:t>
            </w:r>
          </w:p>
        </w:tc>
        <w:tc>
          <w:tcPr>
            <w:tcW w:w="836" w:type="pct"/>
            <w:vAlign w:val="center"/>
          </w:tcPr>
          <w:p w14:paraId="55D38B9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271,886</w:t>
            </w:r>
          </w:p>
        </w:tc>
        <w:tc>
          <w:tcPr>
            <w:tcW w:w="901" w:type="pct"/>
            <w:vAlign w:val="center"/>
          </w:tcPr>
          <w:p w14:paraId="2F9F1E7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0.30</w:t>
            </w:r>
          </w:p>
        </w:tc>
      </w:tr>
      <w:tr w14:paraId="0FA4A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5EDA1BF2">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706EFFA2">
            <w:pPr>
              <w:jc w:val="center"/>
              <w:rPr>
                <w:rFonts w:hint="default" w:ascii="Times New Roman" w:hAnsi="Times New Roman" w:eastAsia="宋体" w:cs="Times New Roman"/>
                <w:b w:val="0"/>
                <w:bCs w:val="0"/>
                <w:kern w:val="0"/>
                <w:sz w:val="21"/>
                <w:szCs w:val="21"/>
              </w:rPr>
            </w:pPr>
          </w:p>
        </w:tc>
        <w:tc>
          <w:tcPr>
            <w:tcW w:w="750" w:type="pct"/>
            <w:vAlign w:val="center"/>
          </w:tcPr>
          <w:p w14:paraId="6D51D93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LINE</w:t>
            </w:r>
          </w:p>
        </w:tc>
        <w:tc>
          <w:tcPr>
            <w:tcW w:w="929" w:type="pct"/>
            <w:vAlign w:val="center"/>
          </w:tcPr>
          <w:p w14:paraId="78062A0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63</w:t>
            </w:r>
          </w:p>
        </w:tc>
        <w:tc>
          <w:tcPr>
            <w:tcW w:w="836" w:type="pct"/>
            <w:vAlign w:val="center"/>
          </w:tcPr>
          <w:p w14:paraId="1F86564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18,338</w:t>
            </w:r>
          </w:p>
        </w:tc>
        <w:tc>
          <w:tcPr>
            <w:tcW w:w="901" w:type="pct"/>
            <w:vAlign w:val="center"/>
          </w:tcPr>
          <w:p w14:paraId="7FA8F3F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0.02</w:t>
            </w:r>
          </w:p>
        </w:tc>
      </w:tr>
      <w:tr w14:paraId="75D7FD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3A8B8700">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15C6CDFD">
            <w:pPr>
              <w:jc w:val="center"/>
              <w:rPr>
                <w:rFonts w:hint="default" w:ascii="Times New Roman" w:hAnsi="Times New Roman" w:eastAsia="宋体" w:cs="Times New Roman"/>
                <w:b w:val="0"/>
                <w:bCs w:val="0"/>
                <w:kern w:val="0"/>
                <w:sz w:val="21"/>
                <w:szCs w:val="21"/>
              </w:rPr>
            </w:pPr>
          </w:p>
        </w:tc>
        <w:tc>
          <w:tcPr>
            <w:tcW w:w="750" w:type="pct"/>
            <w:vAlign w:val="center"/>
          </w:tcPr>
          <w:p w14:paraId="06D9253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PLE|LARD</w:t>
            </w:r>
          </w:p>
        </w:tc>
        <w:tc>
          <w:tcPr>
            <w:tcW w:w="929" w:type="pct"/>
            <w:vAlign w:val="center"/>
          </w:tcPr>
          <w:p w14:paraId="5375CC0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389</w:t>
            </w:r>
          </w:p>
        </w:tc>
        <w:tc>
          <w:tcPr>
            <w:tcW w:w="836" w:type="pct"/>
            <w:vAlign w:val="center"/>
          </w:tcPr>
          <w:p w14:paraId="69211DF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342,910</w:t>
            </w:r>
          </w:p>
        </w:tc>
        <w:tc>
          <w:tcPr>
            <w:tcW w:w="901" w:type="pct"/>
            <w:vAlign w:val="center"/>
          </w:tcPr>
          <w:p w14:paraId="36870BA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0.38</w:t>
            </w:r>
          </w:p>
        </w:tc>
      </w:tr>
      <w:tr w14:paraId="6BB1E1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7A282221">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70B2467E">
            <w:pPr>
              <w:jc w:val="center"/>
              <w:rPr>
                <w:rFonts w:hint="default" w:ascii="Times New Roman" w:hAnsi="Times New Roman" w:eastAsia="宋体" w:cs="Times New Roman"/>
                <w:b w:val="0"/>
                <w:bCs w:val="0"/>
                <w:kern w:val="0"/>
                <w:sz w:val="21"/>
                <w:szCs w:val="21"/>
              </w:rPr>
            </w:pPr>
          </w:p>
        </w:tc>
        <w:tc>
          <w:tcPr>
            <w:tcW w:w="750" w:type="pct"/>
            <w:vAlign w:val="center"/>
          </w:tcPr>
          <w:p w14:paraId="02474F6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SINE</w:t>
            </w:r>
          </w:p>
        </w:tc>
        <w:tc>
          <w:tcPr>
            <w:tcW w:w="929" w:type="pct"/>
            <w:vAlign w:val="center"/>
          </w:tcPr>
          <w:p w14:paraId="04BCFC9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34</w:t>
            </w:r>
          </w:p>
        </w:tc>
        <w:tc>
          <w:tcPr>
            <w:tcW w:w="836" w:type="pct"/>
            <w:vAlign w:val="center"/>
          </w:tcPr>
          <w:p w14:paraId="61337AE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5,240</w:t>
            </w:r>
          </w:p>
        </w:tc>
        <w:tc>
          <w:tcPr>
            <w:tcW w:w="901" w:type="pct"/>
            <w:vAlign w:val="center"/>
          </w:tcPr>
          <w:p w14:paraId="0EFF1AC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0.01</w:t>
            </w:r>
          </w:p>
        </w:tc>
      </w:tr>
      <w:tr w14:paraId="5AD6BB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221E72D1">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05277600">
            <w:pPr>
              <w:rPr>
                <w:rFonts w:hint="default" w:ascii="Times New Roman" w:hAnsi="Times New Roman" w:eastAsia="宋体" w:cs="Times New Roman"/>
                <w:b w:val="0"/>
                <w:bCs w:val="0"/>
                <w:kern w:val="0"/>
                <w:sz w:val="21"/>
                <w:szCs w:val="21"/>
              </w:rPr>
            </w:pPr>
          </w:p>
        </w:tc>
        <w:tc>
          <w:tcPr>
            <w:tcW w:w="750" w:type="pct"/>
            <w:vAlign w:val="center"/>
          </w:tcPr>
          <w:p w14:paraId="55E688B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SINE|TRIM</w:t>
            </w:r>
          </w:p>
        </w:tc>
        <w:tc>
          <w:tcPr>
            <w:tcW w:w="929" w:type="pct"/>
            <w:vAlign w:val="center"/>
          </w:tcPr>
          <w:p w14:paraId="0817762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158</w:t>
            </w:r>
          </w:p>
        </w:tc>
        <w:tc>
          <w:tcPr>
            <w:tcW w:w="836" w:type="pct"/>
            <w:vAlign w:val="center"/>
          </w:tcPr>
          <w:p w14:paraId="071B727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97,716</w:t>
            </w:r>
          </w:p>
        </w:tc>
        <w:tc>
          <w:tcPr>
            <w:tcW w:w="901" w:type="pct"/>
            <w:vAlign w:val="center"/>
          </w:tcPr>
          <w:p w14:paraId="4302BB4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0.11</w:t>
            </w:r>
          </w:p>
        </w:tc>
      </w:tr>
      <w:tr w14:paraId="725F2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7AD5A6E5">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71708B16">
            <w:pPr>
              <w:rPr>
                <w:rFonts w:hint="default" w:ascii="Times New Roman" w:hAnsi="Times New Roman" w:eastAsia="宋体" w:cs="Times New Roman"/>
                <w:b w:val="0"/>
                <w:bCs w:val="0"/>
                <w:kern w:val="0"/>
                <w:sz w:val="21"/>
                <w:szCs w:val="21"/>
              </w:rPr>
            </w:pPr>
          </w:p>
        </w:tc>
        <w:tc>
          <w:tcPr>
            <w:tcW w:w="750" w:type="pct"/>
            <w:vAlign w:val="center"/>
          </w:tcPr>
          <w:p w14:paraId="0594BA6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TRIM</w:t>
            </w:r>
          </w:p>
        </w:tc>
        <w:tc>
          <w:tcPr>
            <w:tcW w:w="929" w:type="pct"/>
            <w:vAlign w:val="center"/>
          </w:tcPr>
          <w:p w14:paraId="35C02BE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106</w:t>
            </w:r>
          </w:p>
        </w:tc>
        <w:tc>
          <w:tcPr>
            <w:tcW w:w="836" w:type="pct"/>
            <w:vAlign w:val="center"/>
          </w:tcPr>
          <w:p w14:paraId="2860397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67,911</w:t>
            </w:r>
          </w:p>
        </w:tc>
        <w:tc>
          <w:tcPr>
            <w:tcW w:w="901" w:type="pct"/>
            <w:vAlign w:val="center"/>
          </w:tcPr>
          <w:p w14:paraId="0E8A800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0.08</w:t>
            </w:r>
          </w:p>
        </w:tc>
      </w:tr>
      <w:tr w14:paraId="6EDC3C6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4877169F">
            <w:pPr>
              <w:jc w:val="center"/>
              <w:rPr>
                <w:rFonts w:hint="default" w:ascii="Times New Roman" w:hAnsi="Times New Roman" w:eastAsia="宋体" w:cs="Times New Roman"/>
                <w:b w:val="0"/>
                <w:bCs w:val="0"/>
                <w:kern w:val="0"/>
                <w:sz w:val="21"/>
                <w:szCs w:val="21"/>
              </w:rPr>
            </w:pPr>
          </w:p>
        </w:tc>
        <w:tc>
          <w:tcPr>
            <w:tcW w:w="584" w:type="pct"/>
            <w:vMerge w:val="continue"/>
            <w:vAlign w:val="center"/>
          </w:tcPr>
          <w:p w14:paraId="1BABA084">
            <w:pPr>
              <w:jc w:val="center"/>
              <w:rPr>
                <w:rFonts w:hint="default" w:ascii="Times New Roman" w:hAnsi="Times New Roman" w:eastAsia="宋体" w:cs="Times New Roman"/>
                <w:b w:val="0"/>
                <w:bCs w:val="0"/>
                <w:kern w:val="0"/>
                <w:sz w:val="21"/>
                <w:szCs w:val="21"/>
              </w:rPr>
            </w:pPr>
          </w:p>
        </w:tc>
        <w:tc>
          <w:tcPr>
            <w:tcW w:w="750" w:type="pct"/>
            <w:vAlign w:val="center"/>
          </w:tcPr>
          <w:p w14:paraId="223997C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Unknown</w:t>
            </w:r>
          </w:p>
        </w:tc>
        <w:tc>
          <w:tcPr>
            <w:tcW w:w="929" w:type="pct"/>
            <w:vAlign w:val="center"/>
          </w:tcPr>
          <w:p w14:paraId="167FC2F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300</w:t>
            </w:r>
          </w:p>
        </w:tc>
        <w:tc>
          <w:tcPr>
            <w:tcW w:w="836" w:type="pct"/>
            <w:vAlign w:val="center"/>
          </w:tcPr>
          <w:p w14:paraId="3E67879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611,801</w:t>
            </w:r>
          </w:p>
        </w:tc>
        <w:tc>
          <w:tcPr>
            <w:tcW w:w="901" w:type="pct"/>
            <w:vAlign w:val="center"/>
          </w:tcPr>
          <w:p w14:paraId="24C9DAD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0.69</w:t>
            </w:r>
          </w:p>
        </w:tc>
      </w:tr>
      <w:tr w14:paraId="05EA43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restart"/>
          </w:tcPr>
          <w:p w14:paraId="1206D36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Class Ⅱ</w:t>
            </w:r>
          </w:p>
        </w:tc>
        <w:tc>
          <w:tcPr>
            <w:tcW w:w="1334" w:type="pct"/>
            <w:gridSpan w:val="2"/>
            <w:vAlign w:val="center"/>
          </w:tcPr>
          <w:p w14:paraId="2AE9CE7F">
            <w:pPr>
              <w:ind w:right="210"/>
              <w:jc w:val="right"/>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Crypton</w:t>
            </w:r>
          </w:p>
        </w:tc>
        <w:tc>
          <w:tcPr>
            <w:tcW w:w="929" w:type="pct"/>
            <w:vAlign w:val="center"/>
          </w:tcPr>
          <w:p w14:paraId="66A3A61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w:t>
            </w:r>
          </w:p>
        </w:tc>
        <w:tc>
          <w:tcPr>
            <w:tcW w:w="836" w:type="pct"/>
            <w:vAlign w:val="center"/>
          </w:tcPr>
          <w:p w14:paraId="2F26C26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52</w:t>
            </w:r>
          </w:p>
        </w:tc>
        <w:tc>
          <w:tcPr>
            <w:tcW w:w="901" w:type="pct"/>
            <w:vAlign w:val="center"/>
          </w:tcPr>
          <w:p w14:paraId="7CFCB64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w:t>
            </w:r>
          </w:p>
        </w:tc>
      </w:tr>
      <w:tr w14:paraId="5CBBF7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071A06B0">
            <w:pPr>
              <w:jc w:val="center"/>
              <w:rPr>
                <w:rFonts w:hint="default" w:ascii="Times New Roman" w:hAnsi="Times New Roman" w:eastAsia="宋体" w:cs="Times New Roman"/>
                <w:b w:val="0"/>
                <w:bCs w:val="0"/>
                <w:kern w:val="0"/>
                <w:sz w:val="21"/>
                <w:szCs w:val="21"/>
              </w:rPr>
            </w:pPr>
          </w:p>
        </w:tc>
        <w:tc>
          <w:tcPr>
            <w:tcW w:w="1334" w:type="pct"/>
            <w:gridSpan w:val="2"/>
            <w:vAlign w:val="center"/>
          </w:tcPr>
          <w:p w14:paraId="0C7F48AF">
            <w:pPr>
              <w:ind w:right="210"/>
              <w:jc w:val="right"/>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Helitron</w:t>
            </w:r>
          </w:p>
        </w:tc>
        <w:tc>
          <w:tcPr>
            <w:tcW w:w="929" w:type="pct"/>
            <w:vAlign w:val="center"/>
          </w:tcPr>
          <w:p w14:paraId="0A1424A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w:t>
            </w:r>
          </w:p>
        </w:tc>
        <w:tc>
          <w:tcPr>
            <w:tcW w:w="836" w:type="pct"/>
            <w:vAlign w:val="center"/>
          </w:tcPr>
          <w:p w14:paraId="41CE4A7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523</w:t>
            </w:r>
          </w:p>
        </w:tc>
        <w:tc>
          <w:tcPr>
            <w:tcW w:w="901" w:type="pct"/>
            <w:vAlign w:val="center"/>
          </w:tcPr>
          <w:p w14:paraId="220CB65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0.00</w:t>
            </w:r>
          </w:p>
        </w:tc>
      </w:tr>
      <w:tr w14:paraId="3F5176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3200B610">
            <w:pPr>
              <w:jc w:val="center"/>
              <w:rPr>
                <w:rFonts w:hint="default" w:ascii="Times New Roman" w:hAnsi="Times New Roman" w:eastAsia="宋体" w:cs="Times New Roman"/>
                <w:b w:val="0"/>
                <w:bCs w:val="0"/>
                <w:kern w:val="0"/>
                <w:sz w:val="21"/>
                <w:szCs w:val="21"/>
              </w:rPr>
            </w:pPr>
          </w:p>
        </w:tc>
        <w:tc>
          <w:tcPr>
            <w:tcW w:w="1334" w:type="pct"/>
            <w:gridSpan w:val="2"/>
            <w:vAlign w:val="center"/>
          </w:tcPr>
          <w:p w14:paraId="60555A94">
            <w:pPr>
              <w:ind w:right="210"/>
              <w:jc w:val="right"/>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MITE</w:t>
            </w:r>
          </w:p>
        </w:tc>
        <w:tc>
          <w:tcPr>
            <w:tcW w:w="929" w:type="pct"/>
            <w:vAlign w:val="center"/>
          </w:tcPr>
          <w:p w14:paraId="4580C6A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619</w:t>
            </w:r>
          </w:p>
        </w:tc>
        <w:tc>
          <w:tcPr>
            <w:tcW w:w="836" w:type="pct"/>
            <w:vAlign w:val="center"/>
          </w:tcPr>
          <w:p w14:paraId="78516A7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135,589</w:t>
            </w:r>
          </w:p>
        </w:tc>
        <w:tc>
          <w:tcPr>
            <w:tcW w:w="901" w:type="pct"/>
            <w:vAlign w:val="center"/>
          </w:tcPr>
          <w:p w14:paraId="666EAF8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0.15</w:t>
            </w:r>
          </w:p>
        </w:tc>
      </w:tr>
      <w:tr w14:paraId="178FB8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334E7551">
            <w:pPr>
              <w:jc w:val="center"/>
              <w:rPr>
                <w:rFonts w:hint="default" w:ascii="Times New Roman" w:hAnsi="Times New Roman" w:eastAsia="宋体" w:cs="Times New Roman"/>
                <w:b w:val="0"/>
                <w:bCs w:val="0"/>
                <w:kern w:val="0"/>
                <w:sz w:val="21"/>
                <w:szCs w:val="21"/>
              </w:rPr>
            </w:pPr>
          </w:p>
        </w:tc>
        <w:tc>
          <w:tcPr>
            <w:tcW w:w="1334" w:type="pct"/>
            <w:gridSpan w:val="2"/>
            <w:vAlign w:val="center"/>
          </w:tcPr>
          <w:p w14:paraId="63F7811C">
            <w:pPr>
              <w:ind w:right="420"/>
              <w:jc w:val="right"/>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TIR</w:t>
            </w:r>
          </w:p>
        </w:tc>
        <w:tc>
          <w:tcPr>
            <w:tcW w:w="929" w:type="pct"/>
            <w:vAlign w:val="center"/>
          </w:tcPr>
          <w:p w14:paraId="2921037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1,102</w:t>
            </w:r>
          </w:p>
        </w:tc>
        <w:tc>
          <w:tcPr>
            <w:tcW w:w="836" w:type="pct"/>
            <w:vAlign w:val="center"/>
          </w:tcPr>
          <w:p w14:paraId="728E9C1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1,344,642</w:t>
            </w:r>
          </w:p>
        </w:tc>
        <w:tc>
          <w:tcPr>
            <w:tcW w:w="901" w:type="pct"/>
            <w:vAlign w:val="center"/>
          </w:tcPr>
          <w:p w14:paraId="6407BAA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1.51</w:t>
            </w:r>
          </w:p>
        </w:tc>
      </w:tr>
      <w:tr w14:paraId="17BC11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00" w:type="pct"/>
            <w:vMerge w:val="continue"/>
            <w:vAlign w:val="center"/>
          </w:tcPr>
          <w:p w14:paraId="7FA17824">
            <w:pPr>
              <w:jc w:val="center"/>
              <w:rPr>
                <w:rFonts w:hint="default" w:ascii="Times New Roman" w:hAnsi="Times New Roman" w:eastAsia="宋体" w:cs="Times New Roman"/>
                <w:b w:val="0"/>
                <w:bCs w:val="0"/>
                <w:kern w:val="0"/>
                <w:sz w:val="21"/>
                <w:szCs w:val="21"/>
              </w:rPr>
            </w:pPr>
          </w:p>
        </w:tc>
        <w:tc>
          <w:tcPr>
            <w:tcW w:w="1334" w:type="pct"/>
            <w:gridSpan w:val="2"/>
            <w:vAlign w:val="center"/>
          </w:tcPr>
          <w:p w14:paraId="708AF689">
            <w:pPr>
              <w:ind w:right="210"/>
              <w:jc w:val="right"/>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Unknown</w:t>
            </w:r>
          </w:p>
        </w:tc>
        <w:tc>
          <w:tcPr>
            <w:tcW w:w="929" w:type="pct"/>
            <w:vAlign w:val="center"/>
          </w:tcPr>
          <w:p w14:paraId="1E20D08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60</w:t>
            </w:r>
          </w:p>
        </w:tc>
        <w:tc>
          <w:tcPr>
            <w:tcW w:w="836" w:type="pct"/>
            <w:vAlign w:val="center"/>
          </w:tcPr>
          <w:p w14:paraId="6BED383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6,749</w:t>
            </w:r>
          </w:p>
        </w:tc>
        <w:tc>
          <w:tcPr>
            <w:tcW w:w="901" w:type="pct"/>
            <w:vAlign w:val="center"/>
          </w:tcPr>
          <w:p w14:paraId="0691858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0.01</w:t>
            </w:r>
          </w:p>
        </w:tc>
      </w:tr>
      <w:tr w14:paraId="509D70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334" w:type="pct"/>
            <w:gridSpan w:val="3"/>
            <w:vAlign w:val="center"/>
          </w:tcPr>
          <w:p w14:paraId="24F2F2A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PotentialHostGene</w:t>
            </w:r>
          </w:p>
        </w:tc>
        <w:tc>
          <w:tcPr>
            <w:tcW w:w="929" w:type="pct"/>
            <w:vAlign w:val="center"/>
          </w:tcPr>
          <w:p w14:paraId="1753D0A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45</w:t>
            </w:r>
          </w:p>
        </w:tc>
        <w:tc>
          <w:tcPr>
            <w:tcW w:w="836" w:type="pct"/>
            <w:vAlign w:val="center"/>
          </w:tcPr>
          <w:p w14:paraId="0578644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52,967</w:t>
            </w:r>
          </w:p>
        </w:tc>
        <w:tc>
          <w:tcPr>
            <w:tcW w:w="901" w:type="pct"/>
            <w:vAlign w:val="center"/>
          </w:tcPr>
          <w:p w14:paraId="76AC71FA">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0.06</w:t>
            </w:r>
          </w:p>
        </w:tc>
      </w:tr>
      <w:tr w14:paraId="4CD01A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334" w:type="pct"/>
            <w:gridSpan w:val="3"/>
            <w:vAlign w:val="center"/>
          </w:tcPr>
          <w:p w14:paraId="42FBED3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SSR</w:t>
            </w:r>
          </w:p>
        </w:tc>
        <w:tc>
          <w:tcPr>
            <w:tcW w:w="929" w:type="pct"/>
            <w:vAlign w:val="center"/>
          </w:tcPr>
          <w:p w14:paraId="55C9156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15,110</w:t>
            </w:r>
          </w:p>
        </w:tc>
        <w:tc>
          <w:tcPr>
            <w:tcW w:w="836" w:type="pct"/>
            <w:vAlign w:val="center"/>
          </w:tcPr>
          <w:p w14:paraId="1E47CF6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25,318,294</w:t>
            </w:r>
          </w:p>
        </w:tc>
        <w:tc>
          <w:tcPr>
            <w:tcW w:w="901" w:type="pct"/>
            <w:vAlign w:val="center"/>
          </w:tcPr>
          <w:p w14:paraId="43EBEC2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28.37</w:t>
            </w:r>
          </w:p>
        </w:tc>
      </w:tr>
      <w:tr w14:paraId="0C4B61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334" w:type="pct"/>
            <w:gridSpan w:val="3"/>
            <w:vAlign w:val="center"/>
          </w:tcPr>
          <w:p w14:paraId="668F6AF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Unknown</w:t>
            </w:r>
          </w:p>
        </w:tc>
        <w:tc>
          <w:tcPr>
            <w:tcW w:w="929" w:type="pct"/>
            <w:vAlign w:val="center"/>
          </w:tcPr>
          <w:p w14:paraId="2706C2F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8,471</w:t>
            </w:r>
          </w:p>
        </w:tc>
        <w:tc>
          <w:tcPr>
            <w:tcW w:w="836" w:type="pct"/>
            <w:vAlign w:val="center"/>
          </w:tcPr>
          <w:p w14:paraId="4972840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4,525,700</w:t>
            </w:r>
          </w:p>
        </w:tc>
        <w:tc>
          <w:tcPr>
            <w:tcW w:w="901" w:type="pct"/>
            <w:vAlign w:val="center"/>
          </w:tcPr>
          <w:p w14:paraId="493EE10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5.07</w:t>
            </w:r>
          </w:p>
        </w:tc>
      </w:tr>
      <w:tr w14:paraId="33A6F9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2334" w:type="pct"/>
            <w:gridSpan w:val="3"/>
            <w:tcBorders>
              <w:bottom w:val="single" w:color="auto" w:sz="12" w:space="0"/>
            </w:tcBorders>
            <w:vAlign w:val="center"/>
          </w:tcPr>
          <w:p w14:paraId="42EEC9B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Total</w:t>
            </w:r>
          </w:p>
        </w:tc>
        <w:tc>
          <w:tcPr>
            <w:tcW w:w="929" w:type="pct"/>
            <w:tcBorders>
              <w:bottom w:val="single" w:color="auto" w:sz="12" w:space="0"/>
            </w:tcBorders>
            <w:vAlign w:val="center"/>
          </w:tcPr>
          <w:p w14:paraId="5DBC6CB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20,210</w:t>
            </w:r>
          </w:p>
        </w:tc>
        <w:tc>
          <w:tcPr>
            <w:tcW w:w="836" w:type="pct"/>
            <w:tcBorders>
              <w:bottom w:val="single" w:color="auto" w:sz="12" w:space="0"/>
            </w:tcBorders>
            <w:vAlign w:val="center"/>
          </w:tcPr>
          <w:p w14:paraId="20A33AB1">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35,652,562</w:t>
            </w:r>
          </w:p>
        </w:tc>
        <w:tc>
          <w:tcPr>
            <w:tcW w:w="901" w:type="pct"/>
            <w:tcBorders>
              <w:bottom w:val="single" w:color="auto" w:sz="12" w:space="0"/>
            </w:tcBorders>
            <w:vAlign w:val="center"/>
          </w:tcPr>
          <w:p w14:paraId="310F511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39.95</w:t>
            </w:r>
          </w:p>
        </w:tc>
      </w:tr>
    </w:tbl>
    <w:p w14:paraId="27C9555C">
      <w:pPr>
        <w:rPr>
          <w:rFonts w:hint="default" w:ascii="Times New Roman" w:hAnsi="Times New Roman" w:eastAsia="等线" w:cs="Times New Roman"/>
          <w:b/>
          <w:bCs/>
          <w:kern w:val="0"/>
          <w:sz w:val="24"/>
          <w:szCs w:val="24"/>
          <w:lang w:bidi="ar"/>
        </w:rPr>
      </w:pPr>
    </w:p>
    <w:p w14:paraId="71DC6CE1">
      <w:pPr>
        <w:pStyle w:val="13"/>
        <w:rPr>
          <w:rFonts w:hint="default" w:ascii="Times New Roman" w:hAnsi="Times New Roman" w:cs="Times New Roman"/>
          <w:sz w:val="24"/>
          <w:szCs w:val="24"/>
        </w:rPr>
      </w:pPr>
    </w:p>
    <w:p w14:paraId="3049F85D">
      <w:pPr>
        <w:pStyle w:val="13"/>
        <w:rPr>
          <w:rFonts w:hint="default" w:ascii="Times New Roman" w:hAnsi="Times New Roman" w:cs="Times New Roman"/>
          <w:sz w:val="24"/>
          <w:szCs w:val="24"/>
        </w:rPr>
      </w:pPr>
      <w:r>
        <w:rPr>
          <w:rFonts w:hint="default" w:ascii="Times New Roman" w:hAnsi="Times New Roman" w:cs="Times New Roman"/>
          <w:sz w:val="24"/>
          <w:szCs w:val="24"/>
        </w:rPr>
        <w:t xml:space="preserve">Table S8. Non-coding RNA predicition results of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genome</w:t>
      </w:r>
    </w:p>
    <w:tbl>
      <w:tblPr>
        <w:tblStyle w:val="7"/>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545"/>
        <w:gridCol w:w="3976"/>
        <w:gridCol w:w="2001"/>
      </w:tblGrid>
      <w:tr w14:paraId="6A24B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493" w:type="pct"/>
            <w:tcBorders>
              <w:top w:val="single" w:color="auto" w:sz="12" w:space="0"/>
              <w:bottom w:val="single" w:color="auto" w:sz="6" w:space="0"/>
            </w:tcBorders>
            <w:vAlign w:val="center"/>
          </w:tcPr>
          <w:p w14:paraId="20C9CEB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RNA classify</w:t>
            </w:r>
          </w:p>
        </w:tc>
        <w:tc>
          <w:tcPr>
            <w:tcW w:w="2333" w:type="pct"/>
            <w:tcBorders>
              <w:top w:val="single" w:color="auto" w:sz="12" w:space="0"/>
              <w:bottom w:val="single" w:color="auto" w:sz="6" w:space="0"/>
            </w:tcBorders>
            <w:vAlign w:val="center"/>
          </w:tcPr>
          <w:p w14:paraId="790D296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Number</w:t>
            </w:r>
          </w:p>
        </w:tc>
        <w:tc>
          <w:tcPr>
            <w:tcW w:w="1174" w:type="pct"/>
            <w:tcBorders>
              <w:top w:val="single" w:color="auto" w:sz="12" w:space="0"/>
              <w:bottom w:val="single" w:color="auto" w:sz="6" w:space="0"/>
            </w:tcBorders>
          </w:tcPr>
          <w:p w14:paraId="08F9970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Family Number</w:t>
            </w:r>
          </w:p>
        </w:tc>
      </w:tr>
      <w:tr w14:paraId="6A52AE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493" w:type="pct"/>
          </w:tcPr>
          <w:p w14:paraId="1C9BC136">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rRNA</w:t>
            </w:r>
          </w:p>
        </w:tc>
        <w:tc>
          <w:tcPr>
            <w:tcW w:w="2333" w:type="pct"/>
            <w:vAlign w:val="center"/>
          </w:tcPr>
          <w:p w14:paraId="1E4FE39A">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39</w:t>
            </w:r>
          </w:p>
        </w:tc>
        <w:tc>
          <w:tcPr>
            <w:tcW w:w="1174" w:type="pct"/>
          </w:tcPr>
          <w:p w14:paraId="79DB3A26">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w:t>
            </w:r>
          </w:p>
        </w:tc>
      </w:tr>
      <w:tr w14:paraId="6D1B84F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493" w:type="pct"/>
          </w:tcPr>
          <w:p w14:paraId="00F4B7FB">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tRNA</w:t>
            </w:r>
          </w:p>
        </w:tc>
        <w:tc>
          <w:tcPr>
            <w:tcW w:w="2333" w:type="pct"/>
            <w:vAlign w:val="center"/>
          </w:tcPr>
          <w:p w14:paraId="4742D806">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204</w:t>
            </w:r>
          </w:p>
        </w:tc>
        <w:tc>
          <w:tcPr>
            <w:tcW w:w="1174" w:type="pct"/>
          </w:tcPr>
          <w:p w14:paraId="6A662EBA">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51</w:t>
            </w:r>
          </w:p>
        </w:tc>
      </w:tr>
      <w:tr w14:paraId="08ACA0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493" w:type="pct"/>
            <w:tcBorders>
              <w:bottom w:val="single" w:color="auto" w:sz="12" w:space="0"/>
            </w:tcBorders>
          </w:tcPr>
          <w:p w14:paraId="53C9BB92">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Other ncRNA</w:t>
            </w:r>
          </w:p>
        </w:tc>
        <w:tc>
          <w:tcPr>
            <w:tcW w:w="2333" w:type="pct"/>
            <w:tcBorders>
              <w:bottom w:val="single" w:color="auto" w:sz="12" w:space="0"/>
            </w:tcBorders>
            <w:vAlign w:val="center"/>
          </w:tcPr>
          <w:p w14:paraId="7D2DABF9">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94</w:t>
            </w:r>
          </w:p>
        </w:tc>
        <w:tc>
          <w:tcPr>
            <w:tcW w:w="1174" w:type="pct"/>
            <w:tcBorders>
              <w:bottom w:val="single" w:color="auto" w:sz="12" w:space="0"/>
            </w:tcBorders>
          </w:tcPr>
          <w:p w14:paraId="5C2B6ACA">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31</w:t>
            </w:r>
          </w:p>
        </w:tc>
      </w:tr>
    </w:tbl>
    <w:p w14:paraId="619ADA69">
      <w:pPr>
        <w:rPr>
          <w:rFonts w:hint="default" w:ascii="Times New Roman" w:hAnsi="Times New Roman" w:eastAsia="宋体" w:cs="Times New Roman"/>
          <w:sz w:val="24"/>
          <w:szCs w:val="24"/>
        </w:rPr>
      </w:pPr>
      <w:r>
        <w:rPr>
          <w:rFonts w:hint="default" w:ascii="Times New Roman" w:hAnsi="Times New Roman" w:eastAsia="宋体" w:cs="Times New Roman"/>
          <w:sz w:val="24"/>
          <w:szCs w:val="24"/>
        </w:rPr>
        <w:br w:type="page"/>
      </w:r>
    </w:p>
    <w:p w14:paraId="0CB9E882">
      <w:pPr>
        <w:pStyle w:val="13"/>
        <w:rPr>
          <w:rFonts w:hint="default" w:ascii="Times New Roman" w:hAnsi="Times New Roman" w:cs="Times New Roman"/>
          <w:sz w:val="24"/>
          <w:szCs w:val="24"/>
        </w:rPr>
      </w:pPr>
      <w:r>
        <w:rPr>
          <w:rFonts w:hint="default" w:ascii="Times New Roman" w:hAnsi="Times New Roman" w:cs="Times New Roman"/>
          <w:sz w:val="24"/>
          <w:szCs w:val="24"/>
        </w:rPr>
        <w:t xml:space="preserve">Table S9. Predicted pseudogenes in </w:t>
      </w:r>
      <w:r>
        <w:rPr>
          <w:rFonts w:hint="default" w:ascii="Times New Roman" w:hAnsi="Times New Roman" w:cs="Times New Roman"/>
          <w:i/>
          <w:iCs/>
          <w:sz w:val="24"/>
          <w:szCs w:val="24"/>
        </w:rPr>
        <w:t>P. asparagi</w:t>
      </w:r>
      <w:r>
        <w:rPr>
          <w:rFonts w:hint="default" w:ascii="Times New Roman" w:hAnsi="Times New Roman" w:cs="Times New Roman"/>
          <w:sz w:val="24"/>
          <w:szCs w:val="24"/>
        </w:rPr>
        <w:t xml:space="preserve"> genome</w:t>
      </w:r>
    </w:p>
    <w:tbl>
      <w:tblPr>
        <w:tblStyle w:val="7"/>
        <w:tblW w:w="5000" w:type="pct"/>
        <w:jc w:val="center"/>
        <w:tblBorders>
          <w:top w:val="single" w:color="auto" w:sz="12" w:space="0"/>
          <w:left w:val="none" w:color="auto" w:sz="0" w:space="0"/>
          <w:bottom w:val="single" w:color="auto" w:sz="12" w:space="0"/>
          <w:right w:val="none" w:color="auto" w:sz="0" w:space="0"/>
          <w:insideH w:val="single" w:color="auto" w:sz="6" w:space="0"/>
          <w:insideV w:val="none" w:color="auto" w:sz="0" w:space="0"/>
        </w:tblBorders>
        <w:tblLayout w:type="autofit"/>
        <w:tblCellMar>
          <w:top w:w="0" w:type="dxa"/>
          <w:left w:w="108" w:type="dxa"/>
          <w:bottom w:w="0" w:type="dxa"/>
          <w:right w:w="108" w:type="dxa"/>
        </w:tblCellMar>
      </w:tblPr>
      <w:tblGrid>
        <w:gridCol w:w="2544"/>
        <w:gridCol w:w="3128"/>
        <w:gridCol w:w="2850"/>
      </w:tblGrid>
      <w:tr w14:paraId="1DA41594">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PrEx>
        <w:trPr>
          <w:trHeight w:val="369" w:hRule="atLeast"/>
          <w:jc w:val="center"/>
        </w:trPr>
        <w:tc>
          <w:tcPr>
            <w:tcW w:w="1493" w:type="pct"/>
            <w:vAlign w:val="center"/>
          </w:tcPr>
          <w:p w14:paraId="5319681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Pesudogene number</w:t>
            </w:r>
          </w:p>
        </w:tc>
        <w:tc>
          <w:tcPr>
            <w:tcW w:w="1835" w:type="pct"/>
            <w:vAlign w:val="center"/>
          </w:tcPr>
          <w:p w14:paraId="10BB224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Pesudogene size (bp)</w:t>
            </w:r>
          </w:p>
        </w:tc>
        <w:tc>
          <w:tcPr>
            <w:tcW w:w="1672" w:type="pct"/>
          </w:tcPr>
          <w:p w14:paraId="761EFB8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Average Pesudogene Length (bp)</w:t>
            </w:r>
          </w:p>
        </w:tc>
      </w:tr>
      <w:tr w14:paraId="0B040E5F">
        <w:tblPrEx>
          <w:tblBorders>
            <w:top w:val="single" w:color="auto" w:sz="12" w:space="0"/>
            <w:left w:val="none" w:color="auto" w:sz="0" w:space="0"/>
            <w:bottom w:val="single" w:color="auto" w:sz="12" w:space="0"/>
            <w:right w:val="none" w:color="auto" w:sz="0" w:space="0"/>
            <w:insideH w:val="single" w:color="auto" w:sz="6" w:space="0"/>
            <w:insideV w:val="none" w:color="auto" w:sz="0" w:space="0"/>
          </w:tblBorders>
          <w:tblCellMar>
            <w:top w:w="0" w:type="dxa"/>
            <w:left w:w="108" w:type="dxa"/>
            <w:bottom w:w="0" w:type="dxa"/>
            <w:right w:w="108" w:type="dxa"/>
          </w:tblCellMar>
        </w:tblPrEx>
        <w:trPr>
          <w:trHeight w:val="369" w:hRule="atLeast"/>
          <w:jc w:val="center"/>
        </w:trPr>
        <w:tc>
          <w:tcPr>
            <w:tcW w:w="1493" w:type="pct"/>
          </w:tcPr>
          <w:p w14:paraId="3ADC96C6">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26</w:t>
            </w:r>
          </w:p>
        </w:tc>
        <w:tc>
          <w:tcPr>
            <w:tcW w:w="1835" w:type="pct"/>
            <w:vAlign w:val="center"/>
          </w:tcPr>
          <w:p w14:paraId="3B90F2C3">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50105</w:t>
            </w:r>
          </w:p>
        </w:tc>
        <w:tc>
          <w:tcPr>
            <w:tcW w:w="1672" w:type="pct"/>
          </w:tcPr>
          <w:p w14:paraId="42BDEB98">
            <w:pPr>
              <w:spacing w:line="360" w:lineRule="auto"/>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1927.11</w:t>
            </w:r>
          </w:p>
        </w:tc>
      </w:tr>
    </w:tbl>
    <w:p w14:paraId="35A8186C">
      <w:pPr>
        <w:jc w:val="left"/>
        <w:rPr>
          <w:rFonts w:hint="default" w:ascii="Times New Roman" w:hAnsi="Times New Roman" w:eastAsia="等线" w:cs="Times New Roman"/>
          <w:b/>
          <w:bCs/>
          <w:kern w:val="0"/>
          <w:sz w:val="24"/>
          <w:szCs w:val="24"/>
          <w:lang w:bidi="ar"/>
        </w:rPr>
      </w:pPr>
    </w:p>
    <w:p w14:paraId="0CBDACC5">
      <w:pPr>
        <w:spacing w:line="360" w:lineRule="auto"/>
        <w:ind w:firstLine="480" w:firstLineChars="200"/>
        <w:jc w:val="center"/>
        <w:rPr>
          <w:rFonts w:hint="default" w:ascii="Times New Roman" w:hAnsi="Times New Roman" w:eastAsia="宋体" w:cs="Times New Roman"/>
          <w:i/>
          <w:iCs/>
          <w:sz w:val="24"/>
          <w:szCs w:val="24"/>
        </w:rPr>
      </w:pPr>
      <w:r>
        <w:rPr>
          <w:rFonts w:hint="default" w:ascii="Times New Roman" w:hAnsi="Times New Roman" w:eastAsia="宋体" w:cs="Times New Roman"/>
          <w:sz w:val="24"/>
          <w:szCs w:val="24"/>
        </w:rPr>
        <w:t xml:space="preserve">Table S10 Statistics of apping alignment results for </w:t>
      </w:r>
      <w:bookmarkStart w:id="8" w:name="_Hlk220319214"/>
      <w:r>
        <w:rPr>
          <w:rFonts w:hint="default" w:ascii="Times New Roman" w:hAnsi="Times New Roman" w:eastAsia="宋体" w:cs="Times New Roman"/>
          <w:i/>
          <w:iCs/>
          <w:sz w:val="24"/>
          <w:szCs w:val="24"/>
        </w:rPr>
        <w:t>P. asparagi</w:t>
      </w:r>
      <w:bookmarkEnd w:id="8"/>
      <w:r>
        <w:rPr>
          <w:rFonts w:hint="default" w:ascii="Times New Roman" w:hAnsi="Times New Roman" w:eastAsia="宋体" w:cs="Times New Roman"/>
          <w:i/>
          <w:iCs/>
          <w:sz w:val="24"/>
          <w:szCs w:val="24"/>
        </w:rPr>
        <w:t xml:space="preserve"> </w:t>
      </w:r>
      <w:r>
        <w:rPr>
          <w:rFonts w:hint="default" w:ascii="Times New Roman" w:hAnsi="Times New Roman" w:eastAsia="宋体" w:cs="Times New Roman"/>
          <w:sz w:val="24"/>
          <w:szCs w:val="24"/>
        </w:rPr>
        <w:t>isolate</w:t>
      </w:r>
    </w:p>
    <w:tbl>
      <w:tblPr>
        <w:tblStyle w:val="7"/>
        <w:tblW w:w="4611"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701"/>
        <w:gridCol w:w="1496"/>
        <w:gridCol w:w="1358"/>
        <w:gridCol w:w="1572"/>
        <w:gridCol w:w="1732"/>
      </w:tblGrid>
      <w:tr w14:paraId="2E92B5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jc w:val="center"/>
        </w:trPr>
        <w:tc>
          <w:tcPr>
            <w:tcW w:w="1082" w:type="pct"/>
            <w:tcBorders>
              <w:top w:val="single" w:color="auto" w:sz="12" w:space="0"/>
              <w:bottom w:val="single" w:color="auto" w:sz="6" w:space="0"/>
            </w:tcBorders>
            <w:vAlign w:val="center"/>
          </w:tcPr>
          <w:p w14:paraId="6399CA9F">
            <w:pPr>
              <w:spacing w:line="240" w:lineRule="atLeast"/>
              <w:jc w:val="center"/>
              <w:rPr>
                <w:rFonts w:hint="default" w:ascii="Times New Roman" w:hAnsi="Times New Roman" w:eastAsia="宋体" w:cs="Times New Roman"/>
                <w:b w:val="0"/>
                <w:bCs w:val="0"/>
                <w:kern w:val="0"/>
                <w:sz w:val="21"/>
                <w:szCs w:val="21"/>
              </w:rPr>
            </w:pPr>
            <w:bookmarkStart w:id="9" w:name="_Hlk220316254"/>
            <w:r>
              <w:rPr>
                <w:rFonts w:hint="default" w:ascii="Times New Roman" w:hAnsi="Times New Roman" w:eastAsia="宋体" w:cs="Times New Roman"/>
                <w:b w:val="0"/>
                <w:bCs w:val="0"/>
                <w:kern w:val="0"/>
                <w:sz w:val="21"/>
                <w:szCs w:val="21"/>
                <w:lang w:val="zh-CN"/>
              </w:rPr>
              <w:t>Sample_ID</w:t>
            </w:r>
            <w:r>
              <w:rPr>
                <w:rFonts w:hint="default" w:ascii="Times New Roman" w:hAnsi="Times New Roman" w:eastAsia="宋体" w:cs="Times New Roman"/>
                <w:b w:val="0"/>
                <w:bCs w:val="0"/>
                <w:kern w:val="0"/>
                <w:sz w:val="21"/>
                <w:szCs w:val="21"/>
              </w:rPr>
              <w:t>​​</w:t>
            </w:r>
          </w:p>
        </w:tc>
        <w:tc>
          <w:tcPr>
            <w:tcW w:w="952" w:type="pct"/>
            <w:tcBorders>
              <w:top w:val="single" w:color="auto" w:sz="12" w:space="0"/>
              <w:bottom w:val="single" w:color="auto" w:sz="6" w:space="0"/>
            </w:tcBorders>
            <w:vAlign w:val="center"/>
          </w:tcPr>
          <w:p w14:paraId="1DFF136D">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Mapped (%)</w:t>
            </w:r>
          </w:p>
        </w:tc>
        <w:tc>
          <w:tcPr>
            <w:tcW w:w="864" w:type="pct"/>
            <w:tcBorders>
              <w:top w:val="single" w:color="auto" w:sz="12" w:space="0"/>
              <w:bottom w:val="single" w:color="auto" w:sz="6" w:space="0"/>
            </w:tcBorders>
            <w:vAlign w:val="center"/>
          </w:tcPr>
          <w:p w14:paraId="5D98F205">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Average</w:t>
            </w:r>
          </w:p>
          <w:p w14:paraId="4F899736">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depth (x)</w:t>
            </w:r>
          </w:p>
        </w:tc>
        <w:tc>
          <w:tcPr>
            <w:tcW w:w="1000" w:type="pct"/>
            <w:tcBorders>
              <w:top w:val="single" w:color="auto" w:sz="12" w:space="0"/>
              <w:bottom w:val="single" w:color="auto" w:sz="6" w:space="0"/>
            </w:tcBorders>
            <w:vAlign w:val="center"/>
          </w:tcPr>
          <w:p w14:paraId="6C7AD3F2">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Coverage (%)</w:t>
            </w:r>
          </w:p>
        </w:tc>
        <w:tc>
          <w:tcPr>
            <w:tcW w:w="1102" w:type="pct"/>
            <w:tcBorders>
              <w:top w:val="single" w:color="auto" w:sz="12" w:space="0"/>
              <w:bottom w:val="single" w:color="auto" w:sz="6" w:space="0"/>
            </w:tcBorders>
            <w:vAlign w:val="center"/>
          </w:tcPr>
          <w:p w14:paraId="3F21E93E">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 xml:space="preserve">Coverage at </w:t>
            </w:r>
          </w:p>
          <w:p w14:paraId="12FDD2F5">
            <w:pPr>
              <w:spacing w:line="240" w:lineRule="atLeast"/>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Least 4× (%)</w:t>
            </w:r>
          </w:p>
        </w:tc>
      </w:tr>
      <w:tr w14:paraId="43824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tcBorders>
              <w:top w:val="single" w:color="auto" w:sz="6" w:space="0"/>
            </w:tcBorders>
            <w:vAlign w:val="center"/>
          </w:tcPr>
          <w:p w14:paraId="4D5941E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lang w:val="zh-CN"/>
              </w:rPr>
              <w:t>GX</w:t>
            </w:r>
          </w:p>
        </w:tc>
        <w:tc>
          <w:tcPr>
            <w:tcW w:w="952" w:type="pct"/>
            <w:tcBorders>
              <w:top w:val="single" w:color="auto" w:sz="6" w:space="0"/>
            </w:tcBorders>
            <w:vAlign w:val="center"/>
          </w:tcPr>
          <w:p w14:paraId="7441EC5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93.46</w:t>
            </w:r>
          </w:p>
        </w:tc>
        <w:tc>
          <w:tcPr>
            <w:tcW w:w="864" w:type="pct"/>
            <w:tcBorders>
              <w:top w:val="single" w:color="auto" w:sz="6" w:space="0"/>
            </w:tcBorders>
            <w:vAlign w:val="center"/>
          </w:tcPr>
          <w:p w14:paraId="2015CDD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48.89</w:t>
            </w:r>
          </w:p>
        </w:tc>
        <w:tc>
          <w:tcPr>
            <w:tcW w:w="1000" w:type="pct"/>
            <w:tcBorders>
              <w:top w:val="single" w:color="auto" w:sz="6" w:space="0"/>
            </w:tcBorders>
            <w:vAlign w:val="center"/>
          </w:tcPr>
          <w:p w14:paraId="7F87203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84.92</w:t>
            </w:r>
          </w:p>
        </w:tc>
        <w:tc>
          <w:tcPr>
            <w:tcW w:w="1102" w:type="pct"/>
            <w:tcBorders>
              <w:top w:val="single" w:color="auto" w:sz="6" w:space="0"/>
            </w:tcBorders>
            <w:vAlign w:val="center"/>
          </w:tcPr>
          <w:p w14:paraId="7DEB35F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75.10</w:t>
            </w:r>
          </w:p>
        </w:tc>
      </w:tr>
      <w:tr w14:paraId="1B1097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77A6D60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NH</w:t>
            </w:r>
          </w:p>
        </w:tc>
        <w:tc>
          <w:tcPr>
            <w:tcW w:w="952" w:type="pct"/>
            <w:vAlign w:val="center"/>
          </w:tcPr>
          <w:p w14:paraId="566EA6F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99.08</w:t>
            </w:r>
          </w:p>
        </w:tc>
        <w:tc>
          <w:tcPr>
            <w:tcW w:w="864" w:type="pct"/>
            <w:vAlign w:val="center"/>
          </w:tcPr>
          <w:p w14:paraId="6E07F71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112.76</w:t>
            </w:r>
          </w:p>
        </w:tc>
        <w:tc>
          <w:tcPr>
            <w:tcW w:w="1000" w:type="pct"/>
            <w:vAlign w:val="center"/>
          </w:tcPr>
          <w:p w14:paraId="42A02C3D">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99.93</w:t>
            </w:r>
          </w:p>
        </w:tc>
        <w:tc>
          <w:tcPr>
            <w:tcW w:w="1102" w:type="pct"/>
            <w:vAlign w:val="center"/>
          </w:tcPr>
          <w:p w14:paraId="15CE013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99.81</w:t>
            </w:r>
          </w:p>
        </w:tc>
      </w:tr>
      <w:tr w14:paraId="4822F1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66878C6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HX-2</w:t>
            </w:r>
          </w:p>
        </w:tc>
        <w:tc>
          <w:tcPr>
            <w:tcW w:w="952" w:type="pct"/>
            <w:vAlign w:val="center"/>
          </w:tcPr>
          <w:p w14:paraId="7921311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98.86</w:t>
            </w:r>
          </w:p>
        </w:tc>
        <w:tc>
          <w:tcPr>
            <w:tcW w:w="864" w:type="pct"/>
            <w:vAlign w:val="center"/>
          </w:tcPr>
          <w:p w14:paraId="09642C2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111.65</w:t>
            </w:r>
          </w:p>
        </w:tc>
        <w:tc>
          <w:tcPr>
            <w:tcW w:w="1000" w:type="pct"/>
            <w:vAlign w:val="center"/>
          </w:tcPr>
          <w:p w14:paraId="62FD7E1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99.95</w:t>
            </w:r>
          </w:p>
        </w:tc>
        <w:tc>
          <w:tcPr>
            <w:tcW w:w="1102" w:type="pct"/>
            <w:vAlign w:val="center"/>
          </w:tcPr>
          <w:p w14:paraId="31DB60F2">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99.87</w:t>
            </w:r>
          </w:p>
        </w:tc>
      </w:tr>
      <w:tr w14:paraId="532D57E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7FA77B37">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YJ</w:t>
            </w:r>
          </w:p>
        </w:tc>
        <w:tc>
          <w:tcPr>
            <w:tcW w:w="952" w:type="pct"/>
            <w:vAlign w:val="center"/>
          </w:tcPr>
          <w:p w14:paraId="572EEBA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98.04</w:t>
            </w:r>
          </w:p>
        </w:tc>
        <w:tc>
          <w:tcPr>
            <w:tcW w:w="864" w:type="pct"/>
            <w:vAlign w:val="center"/>
          </w:tcPr>
          <w:p w14:paraId="3E14786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65.02</w:t>
            </w:r>
          </w:p>
        </w:tc>
        <w:tc>
          <w:tcPr>
            <w:tcW w:w="1000" w:type="pct"/>
            <w:vAlign w:val="center"/>
          </w:tcPr>
          <w:p w14:paraId="325C13D6">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99.93</w:t>
            </w:r>
          </w:p>
        </w:tc>
        <w:tc>
          <w:tcPr>
            <w:tcW w:w="1102" w:type="pct"/>
            <w:vAlign w:val="center"/>
          </w:tcPr>
          <w:p w14:paraId="1171BB5B">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99.84</w:t>
            </w:r>
          </w:p>
        </w:tc>
      </w:tr>
      <w:tr w14:paraId="2AC708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0D91AAC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AY</w:t>
            </w:r>
          </w:p>
        </w:tc>
        <w:tc>
          <w:tcPr>
            <w:tcW w:w="952" w:type="pct"/>
            <w:vAlign w:val="center"/>
          </w:tcPr>
          <w:p w14:paraId="2850A1A8">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98.26</w:t>
            </w:r>
          </w:p>
        </w:tc>
        <w:tc>
          <w:tcPr>
            <w:tcW w:w="864" w:type="pct"/>
            <w:vAlign w:val="center"/>
          </w:tcPr>
          <w:p w14:paraId="385660F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128.12</w:t>
            </w:r>
          </w:p>
        </w:tc>
        <w:tc>
          <w:tcPr>
            <w:tcW w:w="1000" w:type="pct"/>
            <w:vAlign w:val="center"/>
          </w:tcPr>
          <w:p w14:paraId="64D24FF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99.96</w:t>
            </w:r>
          </w:p>
        </w:tc>
        <w:tc>
          <w:tcPr>
            <w:tcW w:w="1102" w:type="pct"/>
            <w:vAlign w:val="center"/>
          </w:tcPr>
          <w:p w14:paraId="7351F8E9">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99.87</w:t>
            </w:r>
          </w:p>
        </w:tc>
      </w:tr>
      <w:tr w14:paraId="12307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309CA6F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QX</w:t>
            </w:r>
          </w:p>
        </w:tc>
        <w:tc>
          <w:tcPr>
            <w:tcW w:w="952" w:type="pct"/>
            <w:vAlign w:val="center"/>
          </w:tcPr>
          <w:p w14:paraId="04BDC3CC">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99.25</w:t>
            </w:r>
          </w:p>
        </w:tc>
        <w:tc>
          <w:tcPr>
            <w:tcW w:w="864" w:type="pct"/>
            <w:vAlign w:val="center"/>
          </w:tcPr>
          <w:p w14:paraId="7F0D24D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76.83</w:t>
            </w:r>
          </w:p>
        </w:tc>
        <w:tc>
          <w:tcPr>
            <w:tcW w:w="1000" w:type="pct"/>
            <w:vAlign w:val="center"/>
          </w:tcPr>
          <w:p w14:paraId="364AA9F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99.84</w:t>
            </w:r>
          </w:p>
        </w:tc>
        <w:tc>
          <w:tcPr>
            <w:tcW w:w="1102" w:type="pct"/>
            <w:vAlign w:val="center"/>
          </w:tcPr>
          <w:p w14:paraId="69663C9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99.60</w:t>
            </w:r>
          </w:p>
        </w:tc>
      </w:tr>
      <w:tr w14:paraId="79E244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vAlign w:val="center"/>
          </w:tcPr>
          <w:p w14:paraId="676589BF">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QF</w:t>
            </w:r>
          </w:p>
        </w:tc>
        <w:tc>
          <w:tcPr>
            <w:tcW w:w="952" w:type="pct"/>
            <w:vAlign w:val="center"/>
          </w:tcPr>
          <w:p w14:paraId="3D62539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99.27</w:t>
            </w:r>
          </w:p>
        </w:tc>
        <w:tc>
          <w:tcPr>
            <w:tcW w:w="864" w:type="pct"/>
            <w:vAlign w:val="center"/>
          </w:tcPr>
          <w:p w14:paraId="002D43E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94.41</w:t>
            </w:r>
          </w:p>
        </w:tc>
        <w:tc>
          <w:tcPr>
            <w:tcW w:w="1000" w:type="pct"/>
            <w:vAlign w:val="center"/>
          </w:tcPr>
          <w:p w14:paraId="63921D4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99.91</w:t>
            </w:r>
          </w:p>
        </w:tc>
        <w:tc>
          <w:tcPr>
            <w:tcW w:w="1102" w:type="pct"/>
            <w:vAlign w:val="center"/>
          </w:tcPr>
          <w:p w14:paraId="77790C8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99.75</w:t>
            </w:r>
          </w:p>
        </w:tc>
      </w:tr>
      <w:tr w14:paraId="31173A9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9" w:hRule="atLeast"/>
          <w:jc w:val="center"/>
        </w:trPr>
        <w:tc>
          <w:tcPr>
            <w:tcW w:w="1082" w:type="pct"/>
            <w:tcBorders>
              <w:bottom w:val="single" w:color="auto" w:sz="12" w:space="0"/>
            </w:tcBorders>
            <w:vAlign w:val="center"/>
          </w:tcPr>
          <w:p w14:paraId="786E8C34">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HB</w:t>
            </w:r>
          </w:p>
        </w:tc>
        <w:tc>
          <w:tcPr>
            <w:tcW w:w="952" w:type="pct"/>
            <w:tcBorders>
              <w:bottom w:val="single" w:color="auto" w:sz="12" w:space="0"/>
            </w:tcBorders>
            <w:vAlign w:val="center"/>
          </w:tcPr>
          <w:p w14:paraId="44059303">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99.44</w:t>
            </w:r>
          </w:p>
        </w:tc>
        <w:tc>
          <w:tcPr>
            <w:tcW w:w="864" w:type="pct"/>
            <w:tcBorders>
              <w:bottom w:val="single" w:color="auto" w:sz="12" w:space="0"/>
            </w:tcBorders>
            <w:vAlign w:val="center"/>
          </w:tcPr>
          <w:p w14:paraId="24E5B820">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75.02</w:t>
            </w:r>
          </w:p>
        </w:tc>
        <w:tc>
          <w:tcPr>
            <w:tcW w:w="1000" w:type="pct"/>
            <w:tcBorders>
              <w:bottom w:val="single" w:color="auto" w:sz="12" w:space="0"/>
            </w:tcBorders>
            <w:vAlign w:val="center"/>
          </w:tcPr>
          <w:p w14:paraId="1BD57BE5">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99.86</w:t>
            </w:r>
          </w:p>
        </w:tc>
        <w:tc>
          <w:tcPr>
            <w:tcW w:w="1102" w:type="pct"/>
            <w:tcBorders>
              <w:bottom w:val="single" w:color="auto" w:sz="12" w:space="0"/>
            </w:tcBorders>
            <w:vAlign w:val="center"/>
          </w:tcPr>
          <w:p w14:paraId="67FEB29E">
            <w:pPr>
              <w:jc w:val="center"/>
              <w:rPr>
                <w:rFonts w:hint="default" w:ascii="Times New Roman" w:hAnsi="Times New Roman" w:eastAsia="宋体" w:cs="Times New Roman"/>
                <w:b w:val="0"/>
                <w:bCs w:val="0"/>
                <w:kern w:val="0"/>
                <w:sz w:val="21"/>
                <w:szCs w:val="21"/>
              </w:rPr>
            </w:pPr>
            <w:r>
              <w:rPr>
                <w:rFonts w:hint="default" w:ascii="Times New Roman" w:hAnsi="Times New Roman" w:eastAsia="宋体" w:cs="Times New Roman"/>
                <w:b w:val="0"/>
                <w:bCs w:val="0"/>
                <w:kern w:val="0"/>
                <w:sz w:val="21"/>
                <w:szCs w:val="21"/>
              </w:rPr>
              <w:t>99.65</w:t>
            </w:r>
          </w:p>
        </w:tc>
      </w:tr>
      <w:bookmarkEnd w:id="9"/>
    </w:tbl>
    <w:p w14:paraId="0BB7EF69">
      <w:pPr>
        <w:spacing w:beforeLines="0" w:afterLines="0"/>
        <w:jc w:val="left"/>
        <w:rPr>
          <w:rFonts w:hint="default" w:ascii="Times New Roman" w:hAnsi="Times New Roman" w:cs="Times New Roman"/>
          <w:b/>
          <w:bCs/>
          <w:sz w:val="24"/>
          <w:szCs w:val="24"/>
        </w:rPr>
      </w:pPr>
      <w:r>
        <w:rPr>
          <w:rFonts w:hint="default" w:ascii="Times New Roman" w:hAnsi="Times New Roman" w:cs="Times New Roman"/>
          <w:b/>
          <w:bCs/>
          <w:sz w:val="24"/>
          <w:szCs w:val="24"/>
        </w:rPr>
        <w:fldChar w:fldCharType="begin"/>
      </w:r>
      <w:r>
        <w:rPr>
          <w:rFonts w:hint="default" w:ascii="Times New Roman" w:hAnsi="Times New Roman" w:cs="Times New Roman"/>
          <w:b/>
          <w:bCs/>
          <w:sz w:val="24"/>
          <w:szCs w:val="24"/>
        </w:rPr>
        <w:instrText xml:space="preserve"> ADDIN NE.Rep</w:instrText>
      </w:r>
      <w:r>
        <w:rPr>
          <w:rFonts w:hint="default" w:ascii="Times New Roman" w:hAnsi="Times New Roman" w:cs="Times New Roman"/>
          <w:b/>
          <w:bCs/>
          <w:sz w:val="24"/>
          <w:szCs w:val="24"/>
        </w:rPr>
        <w:fldChar w:fldCharType="end"/>
      </w:r>
    </w:p>
    <w:sectPr>
      <w:pgSz w:w="11906" w:h="16838"/>
      <w:pgMar w:top="1440" w:right="1800" w:bottom="1440" w:left="1800" w:header="851" w:footer="992" w:gutter="0"/>
      <w:lnNumType w:countBy="1" w:restart="continuou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imesNewRomanPS-BoldMT">
    <w:altName w:val="Times New Roman"/>
    <w:panose1 w:val="00000000000000000000"/>
    <w:charset w:val="00"/>
    <w:family w:val="auto"/>
    <w:pitch w:val="default"/>
    <w:sig w:usb0="00000000" w:usb1="00000000" w:usb2="00000000" w:usb3="00000000" w:csb0="00000000" w:csb1="00000000"/>
  </w:font>
  <w:font w:name="Segoe UI">
    <w:panose1 w:val="020B0502040204020203"/>
    <w:charset w:val="00"/>
    <w:family w:val="swiss"/>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NE.Ref{05B4F6C4-F811-4A06-BE07-E0F26D088A9C}" w:val=" ADDIN NE.Ref.{05B4F6C4-F811-4A06-BE07-E0F26D088A9C}&lt;Citation&gt;&lt;Group&gt;&lt;References&gt;&lt;Item&gt;&lt;ID&gt;614&lt;/ID&gt;&lt;UID&gt;{0806F1C2-9C30-48BC-9FFC-6C50B42D3D66}&lt;/UID&gt;&lt;Title&gt;Cytological and ultrastructural investigation of pathogen infection pathway and host responses in asparagus stem infected by Phomopsis asparagi&lt;/Title&gt;&lt;Template&gt;Journal Article&lt;/Template&gt;&lt;Star&gt;0&lt;/Star&gt;&lt;Tag&gt;0&lt;/Tag&gt;&lt;Author&gt;Sun, Liping; Li, Yange; Li, Xiaoting; Ruan, Xinyi; Zhao, Yueyan; Wen, Ruidong; Wei, Shuaijie; Chen, Ning; Zhang, Yulan; Li, Shufen; Gao, Wujun&lt;/Author&gt;&lt;Year&gt;2024&lt;/Year&gt;&lt;Details&gt;&lt;_accessed&gt;66260746&lt;/_accessed&gt;&lt;_collection_scope&gt;SCIE&lt;/_collection_scope&gt;&lt;_created&gt;66260746&lt;/_created&gt;&lt;_date&gt;65484000&lt;/_date&gt;&lt;_db_updated&gt;CrossRef&lt;/_db_updated&gt;&lt;_doi&gt;10.1186/s42483-024-00252-x&lt;/_doi&gt;&lt;_impact_factor&gt;   3.200&lt;/_impact_factor&gt;&lt;_isbn&gt;2524-4167&lt;/_isbn&gt;&lt;_issue&gt;1&lt;/_issue&gt;&lt;_journal&gt;Phytopathology Research&lt;/_journal&gt;&lt;_modified&gt;66260746&lt;/_modified&gt;&lt;_pages&gt;32&lt;/_pages&gt;&lt;_social_category&gt;植物科学(3)&lt;/_social_category&gt;&lt;_tertiary_title&gt;Phytopathol Res&lt;/_tertiary_title&gt;&lt;_url&gt;https://phytopatholres.biomedcentral.com/articles/10.1186/s42483-024-00252-x_x000d__x000a_https://link.springer.com/content/pdf/10.1186/s42483-024-00252-x.pdf&lt;/_url&gt;&lt;_volume&gt;6&lt;/_volume&gt;&lt;/Details&gt;&lt;Extra&gt;&lt;DBUID&gt;{03752FAB-B361-4F66-989B-C711D9502F78}&lt;/DBUID&gt;&lt;/Extra&gt;&lt;/Item&gt;&lt;/References&gt;&lt;/Group&gt;&lt;/Citation&gt;_x000a_"/>
    <w:docVar w:name="NE.Ref{15FA3CAB-0887-41B1-88EF-9D97D195BAD1}" w:val=" ADDIN NE.Ref.{15FA3CAB-0887-41B1-88EF-9D97D195BAD1}&lt;Citation&gt;&lt;Group&gt;&lt;References&gt;&lt;Item&gt;&lt;ID&gt;620&lt;/ID&gt;&lt;UID&gt;{53784055-0A93-4F03-9DCD-43BE1A1F8048}&lt;/UID&gt;&lt;Title&gt;Whole genome re-sequencing and transcriptome analysis of the Stylosanthes Anthracnose pathogen Colletotrichum gloeosporioides reveal its characteristics&lt;/Title&gt;&lt;Template&gt;Journal Article&lt;/Template&gt;&lt;Star&gt;0&lt;/Star&gt;&lt;Tag&gt;0&lt;/Tag&gt;&lt;Author&gt;Huang, H P&lt;/Author&gt;&lt;Year&gt;2016&lt;/Year&gt;&lt;Details&gt;&lt;_accessed&gt;66262159&lt;/_accessed&gt;&lt;_collection_scope&gt;SCIE&lt;/_collection_scope&gt;&lt;_created&gt;66262159&lt;/_created&gt;&lt;_db_updated&gt;CrossRef&lt;/_db_updated&gt;&lt;_doi&gt;10.5943/mycosphere/si/2c/5&lt;/_doi&gt;&lt;_impact_factor&gt;  10.000&lt;/_impact_factor&gt;&lt;_isbn&gt;20777019&lt;/_isbn&gt;&lt;_issue&gt;8&lt;/_issue&gt;&lt;_journal&gt;Mycosphere&lt;/_journal&gt;&lt;_modified&gt;66262159&lt;/_modified&gt;&lt;_pages&gt;1124-1146&lt;/_pages&gt;&lt;_social_category&gt;真菌学(2)&lt;/_social_category&gt;&lt;_tertiary_title&gt;Mycosphere&lt;/_tertiary_title&gt;&lt;_url&gt;http://www.mycosphere.org/pdf/Mycosphere_SI_2c_5.pdf&lt;/_url&gt;&lt;_volume&gt;7&lt;/_volume&gt;&lt;/Details&gt;&lt;Extra&gt;&lt;DBUID&gt;{03752FAB-B361-4F66-989B-C711D9502F78}&lt;/DBUID&gt;&lt;/Extra&gt;&lt;/Item&gt;&lt;/References&gt;&lt;/Group&gt;&lt;Group&gt;&lt;References&gt;&lt;Item&gt;&lt;ID&gt;613&lt;/ID&gt;&lt;UID&gt;{5E0DC3A4-39E1-4CBB-900D-EA282931F498}&lt;/UID&gt;&lt;Title&gt;Biological Characteristics and Genetic Diversity of Phomopsis asparagi, Causal Agent of Asparagus Stem Blight&lt;/Title&gt;&lt;Template&gt;Journal Article&lt;/Template&gt;&lt;Star&gt;0&lt;/Star&gt;&lt;Tag&gt;0&lt;/Tag&gt;&lt;Author&gt;Yang, Y Q; Sun, Q; Li, C M; Chen, H F; Zhao, F; Huang, J H; Zhou, J S; Li, X M; Lan, B&lt;/Author&gt;&lt;Year&gt;2020&lt;/Year&gt;&lt;Details&gt;&lt;_accession_num&gt;33006915&lt;/_accession_num&gt;&lt;_collection_scope&gt;SCIE&lt;/_collection_scope&gt;&lt;_created&gt;66260738&lt;/_created&gt;&lt;_date&gt;2020-11-01&lt;/_date&gt;&lt;_date_display&gt;2020/11/&lt;/_date_display&gt;&lt;_db_updated&gt;PubMed&lt;/_db_updated&gt;&lt;_doi&gt;10.1094/PDIS-07-19-1484-RE&lt;/_doi&gt;&lt;_impact_factor&gt;   4.400&lt;/_impact_factor&gt;&lt;_isbn&gt;0191-2917&lt;/_isbn&gt;&lt;_issue&gt;11&lt;/_issue&gt;&lt;_journal&gt;Plant disease&lt;/_journal&gt;&lt;_keywords&gt;ISSR-PCR; P. asparagi; asparagus stem blight; biological characteristics; genetic diversity; *Ascomycota/genetics; *Asparagus Plant; Genetic Variation; *Mitosporic Fungi; Phylogeny&lt;/_keywords&gt;&lt;_modified&gt;66260738&lt;/_modified&gt;&lt;_pages&gt;2898-2904&lt;/_pages&gt;&lt;_place_published&gt;United States&lt;/_place_published&gt;&lt;_social_category&gt;植物科学(2)&lt;/_social_category&gt;&lt;_url&gt;https://pubmed.ncbi.nlm.nih.gov/33006915&lt;/_url&gt;&lt;_volume&gt;104&lt;/_volume&gt;&lt;/Details&gt;&lt;Extra&gt;&lt;DBUID&gt;{03752FAB-B361-4F66-989B-C711D9502F78}&lt;/DBUID&gt;&lt;/Extra&gt;&lt;/Item&gt;&lt;/References&gt;&lt;/Group&gt;&lt;/Citation&gt;_x000a_"/>
    <w:docVar w:name="NE.Ref{1834ADB3-DBB3-41CD-A7C4-13B8168B145D}" w:val=" ADDIN NE.Ref.{1834ADB3-DBB3-41CD-A7C4-13B8168B145D}&lt;Citation&gt;&lt;Group&gt;&lt;References&gt;&lt;Item&gt;&lt;ID&gt;587&lt;/ID&gt;&lt;UID&gt;{17C7B948-4AF4-4265-8C48-EC5F39074D6F}&lt;/UID&gt;&lt;Title&gt;The Pfam protein families database&lt;/Title&gt;&lt;Template&gt;Journal Article&lt;/Template&gt;&lt;Star&gt;0&lt;/Star&gt;&lt;Tag&gt;0&lt;/Tag&gt;&lt;Author&gt;Finn, Robert D; Mistry, Jaina; Tate, John; Coggill, Penny; Heger, Andreas; Pollington, Joanne E; Gavin, O Luke; Gunasekaran, Prasad; Ceric, Goran; Forslund, Kristoffer; Holm, Liisa; Sonnhammer, Erik L L; Eddy, Sean R; Bateman, Alex&lt;/Author&gt;&lt;Year&gt;2010&lt;/Year&gt;&lt;Details&gt;&lt;_collection_scope&gt;SCIE&lt;/_collection_scope&gt;&lt;_created&gt;66239610&lt;/_created&gt;&lt;_date&gt;2010-01-01&lt;/_date&gt;&lt;_date_display&gt;2010/01/&lt;/_date_display&gt;&lt;_db_updated&gt;PubMed&lt;/_db_updated&gt;&lt;_doi&gt;10.1093/nar/gkp985&lt;/_doi&gt;&lt;_impact_factor&gt;  16.600&lt;/_impact_factor&gt;&lt;_isbn&gt;1362-4962&lt;/_isbn&gt;&lt;_issue&gt;Database issue&lt;/_issue&gt;&lt;_journal&gt;Nucleic acids research&lt;/_journal&gt;&lt;_keywords&gt;Amino Acid Sequence; Animals; Computational Biology/*methods/trends; *Databases, Nucleic Acid; *Databases, Protein; Genome, Archaeal; Genome, Fungal; Humans; Information Storage and Retrieval/methods; Internet; Molecular Sequence Data; Protein Structure, Tertiary; Sequence Alignment; Sequence Homology, Amino Acid; Software&lt;/_keywords&gt;&lt;_modified&gt;66239610&lt;/_modified&gt;&lt;_pages&gt;D211-D222&lt;/_pages&gt;&lt;_place_published&gt;England&lt;/_place_published&gt;&lt;_social_category&gt;生化与分子生物学(2)&lt;/_social_category&gt;&lt;_url&gt;https://pubmed.ncbi.nlm.nih.gov/19920124_x000d__x000a_https://www.ncbi.nlm.nih.gov/pmc/articles/PMC2808889/&lt;/_url&gt;&lt;_volume&gt;38&lt;/_volume&gt;&lt;/Details&gt;&lt;Extra&gt;&lt;DBUID&gt;{03752FAB-B361-4F66-989B-C711D9502F78}&lt;/DBUID&gt;&lt;/Extra&gt;&lt;/Item&gt;&lt;/References&gt;&lt;/Group&gt;&lt;/Citation&gt;_x000a_"/>
    <w:docVar w:name="NE.Ref{1BAA7161-E9DC-4EE3-A50D-550A28A02E85}" w:val=" ADDIN NE.Ref.{1BAA7161-E9DC-4EE3-A50D-550A28A02E85}&lt;Citation&gt;&lt;Group&gt;&lt;References&gt;&lt;Item&gt;&lt;ID&gt;589&lt;/ID&gt;&lt;UID&gt;{F75B851C-FD60-4405-B5B3-2A1D794E1DAA}&lt;/UID&gt;&lt;Title&gt;WoLF PSORT: protein localization predictor&lt;/Title&gt;&lt;Template&gt;Journal Article&lt;/Template&gt;&lt;Star&gt;0&lt;/Star&gt;&lt;Tag&gt;0&lt;/Tag&gt;&lt;Author&gt;Horton, Paul; Park, Keun-Joon; Obayashi, Takeshi; Fujita, Naoya; Harada, Hajime; Adams-Collier, C J; Nakai, Kenta&lt;/Author&gt;&lt;Year&gt;2007&lt;/Year&gt;&lt;Details&gt;&lt;_collection_scope&gt;SCIE&lt;/_collection_scope&gt;&lt;_created&gt;66239613&lt;/_created&gt;&lt;_date&gt;2007-07-01&lt;/_date&gt;&lt;_date_display&gt;2007/07/&lt;/_date_display&gt;&lt;_db_updated&gt;PubMed&lt;/_db_updated&gt;&lt;_doi&gt;10.1093/nar/gkm259&lt;/_doi&gt;&lt;_impact_factor&gt;  16.600&lt;/_impact_factor&gt;&lt;_isbn&gt;1362-4962&lt;/_isbn&gt;&lt;_issue&gt;Web Server issue&lt;/_issue&gt;&lt;_journal&gt;Nucleic acids research&lt;/_journal&gt;&lt;_keywords&gt;Arabidopsis; Computational Biology/*methods; Databases, Protein; Humans; Internet; Membrane Proteins/analysis/chemistry; Models, Statistical; Programming Languages; Protein Sorting Signals; Protein Structure, Secondary; Proteins/*analysis/*chemistry; Reproducibility of Results; Sequence Analysis, Protein/*methods; *Software&lt;/_keywords&gt;&lt;_modified&gt;66239614&lt;/_modified&gt;&lt;_pages&gt;W585-W587&lt;/_pages&gt;&lt;_place_published&gt;England&lt;/_place_published&gt;&lt;_social_category&gt;生化与分子生物学(2)&lt;/_social_category&gt;&lt;_url&gt;https://pubmed.ncbi.nlm.nih.gov/17517783_x000d__x000a_https://www.ncbi.nlm.nih.gov/pmc/articles/PMC1933216/&lt;/_url&gt;&lt;_volume&gt;35&lt;/_volume&gt;&lt;/Details&gt;&lt;Extra&gt;&lt;DBUID&gt;{03752FAB-B361-4F66-989B-C711D9502F78}&lt;/DBUID&gt;&lt;/Extra&gt;&lt;/Item&gt;&lt;/References&gt;&lt;/Group&gt;&lt;/Citation&gt;_x000a_"/>
    <w:docVar w:name="NE.Ref{1E7023E0-09B7-4A50-B07F-3629FE4317EB}" w:val=" ADDIN NE.Ref.{1E7023E0-09B7-4A50-B07F-3629FE4317EB}&lt;Citation&gt;&lt;Group&gt;&lt;References&gt;&lt;Item&gt;&lt;ID&gt;613&lt;/ID&gt;&lt;UID&gt;{5E0DC3A4-39E1-4CBB-900D-EA282931F498}&lt;/UID&gt;&lt;Title&gt;Biological Characteristics and Genetic Diversity of Phomopsis asparagi, Causal Agent of Asparagus Stem Blight&lt;/Title&gt;&lt;Template&gt;Journal Article&lt;/Template&gt;&lt;Star&gt;0&lt;/Star&gt;&lt;Tag&gt;0&lt;/Tag&gt;&lt;Author&gt;Yang, Y Q; Sun, Q; Li, C M; Chen, H F; Zhao, F; Huang, J H; Zhou, J S; Li, X M; Lan, B&lt;/Author&gt;&lt;Year&gt;2020&lt;/Year&gt;&lt;Details&gt;&lt;_accession_num&gt;33006915&lt;/_accession_num&gt;&lt;_date_display&gt;2020/11/&lt;/_date_display&gt;&lt;_date&gt;2020-11-01&lt;/_date&gt;&lt;_doi&gt;10.1094/PDIS-07-19-1484-RE&lt;/_doi&gt;&lt;_isbn&gt;0191-2917&lt;/_isbn&gt;&lt;_issue&gt;11&lt;/_issue&gt;&lt;_journal&gt;Plant disease&lt;/_journal&gt;&lt;_keywords&gt;ISSR-PCR; P. asparagi; asparagus stem blight; biological characteristics; genetic diversity; *Ascomycota/genetics; *Asparagus Plant; Genetic Variation; *Mitosporic Fungi; Phylogeny&lt;/_keywords&gt;&lt;_pages&gt;2898-2904&lt;/_pages&gt;&lt;_place_published&gt;United States&lt;/_place_published&gt;&lt;_url&gt;https://pubmed.ncbi.nlm.nih.gov/33006915&lt;/_url&gt;&lt;_volume&gt;104&lt;/_volume&gt;&lt;_created&gt;66260738&lt;/_created&gt;&lt;_modified&gt;66260738&lt;/_modified&gt;&lt;_db_updated&gt;PubMed&lt;/_db_updated&gt;&lt;_impact_factor&gt;   4.400&lt;/_impact_factor&gt;&lt;_social_category&gt;植物科学(2)&lt;/_social_category&gt;&lt;_collection_scope&gt;SCIE&lt;/_collection_scope&gt;&lt;/Details&gt;&lt;Extra&gt;&lt;DBUID&gt;{03752FAB-B361-4F66-989B-C711D9502F78}&lt;/DBUID&gt;&lt;/Extra&gt;&lt;/Item&gt;&lt;/References&gt;&lt;/Group&gt;&lt;/Citation&gt;_x000a_"/>
    <w:docVar w:name="NE.Ref{28DA4DAF-12BC-4986-B587-14F5FC7CAB5D}" w:val=" ADDIN NE.Ref.{28DA4DAF-12BC-4986-B587-14F5FC7CAB5D}&lt;Citation&gt;&lt;Group&gt;&lt;References&gt;&lt;Item&gt;&lt;ID&gt;613&lt;/ID&gt;&lt;UID&gt;{5E0DC3A4-39E1-4CBB-900D-EA282931F498}&lt;/UID&gt;&lt;Title&gt;Biological Characteristics and Genetic Diversity of Phomopsis asparagi, Causal Agent of Asparagus Stem Blight&lt;/Title&gt;&lt;Template&gt;Journal Article&lt;/Template&gt;&lt;Star&gt;0&lt;/Star&gt;&lt;Tag&gt;0&lt;/Tag&gt;&lt;Author&gt;Yang, Y Q; Sun, Q; Li, C M; Chen, H F; Zhao, F; Huang, J H; Zhou, J S; Li, X M; Lan, B&lt;/Author&gt;&lt;Year&gt;2020&lt;/Year&gt;&lt;Details&gt;&lt;_accession_num&gt;33006915&lt;/_accession_num&gt;&lt;_collection_scope&gt;SCIE&lt;/_collection_scope&gt;&lt;_created&gt;66260738&lt;/_created&gt;&lt;_date&gt;2020-11-01&lt;/_date&gt;&lt;_date_display&gt;2020/11/&lt;/_date_display&gt;&lt;_db_updated&gt;PubMed&lt;/_db_updated&gt;&lt;_doi&gt;10.1094/PDIS-07-19-1484-RE&lt;/_doi&gt;&lt;_impact_factor&gt;   4.400&lt;/_impact_factor&gt;&lt;_isbn&gt;0191-2917&lt;/_isbn&gt;&lt;_issue&gt;11&lt;/_issue&gt;&lt;_journal&gt;Plant disease&lt;/_journal&gt;&lt;_keywords&gt;ISSR-PCR; P. asparagi; asparagus stem blight; biological characteristics; genetic diversity; *Ascomycota/genetics; *Asparagus Plant; Genetic Variation; *Mitosporic Fungi; Phylogeny&lt;/_keywords&gt;&lt;_modified&gt;66260738&lt;/_modified&gt;&lt;_pages&gt;2898-2904&lt;/_pages&gt;&lt;_place_published&gt;United States&lt;/_place_published&gt;&lt;_social_category&gt;植物科学(2)&lt;/_social_category&gt;&lt;_url&gt;https://pubmed.ncbi.nlm.nih.gov/33006915&lt;/_url&gt;&lt;_volume&gt;104&lt;/_volume&gt;&lt;/Details&gt;&lt;Extra&gt;&lt;DBUID&gt;{03752FAB-B361-4F66-989B-C711D9502F78}&lt;/DBUID&gt;&lt;/Extra&gt;&lt;/Item&gt;&lt;/References&gt;&lt;/Group&gt;&lt;/Citation&gt;_x000a_"/>
    <w:docVar w:name="NE.Ref{2DB454A8-97AB-45AD-8BA9-1A278C0CC024}" w:val=" ADDIN NE.Ref.{2DB454A8-97AB-45AD-8BA9-1A278C0CC024}&lt;Citation&gt;&lt;Group&gt;&lt;References&gt;&lt;Item&gt;&lt;ID&gt;610&lt;/ID&gt;&lt;UID&gt;{ADF72FA5-F638-4D16-BB0D-AD086206981E}&lt;/UID&gt;&lt;Title&gt;The Genome Analysis Toolkit: a MapReduce framework for analyzing next-generation DNA sequencing data&lt;/Title&gt;&lt;Template&gt;Journal Article&lt;/Template&gt;&lt;Star&gt;0&lt;/Star&gt;&lt;Tag&gt;0&lt;/Tag&gt;&lt;Author&gt;McKenna, Aaron; Hanna, Matthew; Banks, Eric; Sivachenko, Andrey; Cibulskis, Kristian; Kernytsky, Andrew; Garimella, Kiran; Altshuler, David; Gabriel, Stacey; Daly, Mark; DePristo, Mark A&lt;/Author&gt;&lt;Year&gt;2010&lt;/Year&gt;&lt;Details&gt;&lt;_collection_scope&gt;SCIE&lt;/_collection_scope&gt;&lt;_created&gt;66246682&lt;/_created&gt;&lt;_date&gt;2010-09-01&lt;/_date&gt;&lt;_date_display&gt;2010/09/&lt;/_date_display&gt;&lt;_db_updated&gt;PubMed&lt;/_db_updated&gt;&lt;_doi&gt;10.1101/gr.107524.110&lt;/_doi&gt;&lt;_impact_factor&gt;   6.200&lt;/_impact_factor&gt;&lt;_isbn&gt;1549-5469&lt;/_isbn&gt;&lt;_issue&gt;9&lt;/_issue&gt;&lt;_journal&gt;Genome research&lt;/_journal&gt;&lt;_keywords&gt;Base Sequence; *Genome; Genomics/*methods; Sequence Analysis, DNA/*methods; *Software&lt;/_keywords&gt;&lt;_modified&gt;66246682&lt;/_modified&gt;&lt;_pages&gt;1297-1303&lt;/_pages&gt;&lt;_place_published&gt;United States&lt;/_place_published&gt;&lt;_social_category&gt;生化与分子生物学(2) &amp;amp; 生物工程与应用微生物(1) &amp;amp; 遗传学(2)&lt;/_social_category&gt;&lt;_url&gt;https://pubmed.ncbi.nlm.nih.gov/20644199_x000d__x000a_https://www.ncbi.nlm.nih.gov/pmc/articles/PMC2928508/&lt;/_url&gt;&lt;_volume&gt;20&lt;/_volume&gt;&lt;/Details&gt;&lt;Extra&gt;&lt;DBUID&gt;{03752FAB-B361-4F66-989B-C711D9502F78}&lt;/DBUID&gt;&lt;/Extra&gt;&lt;/Item&gt;&lt;/References&gt;&lt;/Group&gt;&lt;Group&gt;&lt;References&gt;&lt;Item&gt;&lt;ID&gt;611&lt;/ID&gt;&lt;UID&gt;{E40938DA-EF0F-4A99-8580-2DCBD3F8F569}&lt;/UID&gt;&lt;Title&gt;SNP detection for massively parallel whole-genome resequencing&lt;/Title&gt;&lt;Template&gt;Journal Article&lt;/Template&gt;&lt;Star&gt;0&lt;/Star&gt;&lt;Tag&gt;0&lt;/Tag&gt;&lt;Author&gt;Li, Ruiqiang; Li, Yingrui; Fang, Xiaodong; Yang, Huanming; Wang, Jian; Kristiansen, Karsten; Wang, Jun&lt;/Author&gt;&lt;Year&gt;2009&lt;/Year&gt;&lt;Details&gt;&lt;_collection_scope&gt;SCIE&lt;/_collection_scope&gt;&lt;_created&gt;66246683&lt;/_created&gt;&lt;_date&gt;2009-06-01&lt;/_date&gt;&lt;_date_display&gt;2009/06/&lt;/_date_display&gt;&lt;_db_updated&gt;PubMed&lt;/_db_updated&gt;&lt;_doi&gt;10.1101/gr.088013.108&lt;/_doi&gt;&lt;_impact_factor&gt;   6.200&lt;/_impact_factor&gt;&lt;_isbn&gt;1088-9051&lt;/_isbn&gt;&lt;_issue&gt;6&lt;/_issue&gt;&lt;_journal&gt;Genome research&lt;/_journal&gt;&lt;_keywords&gt;Algorithms; Asian People/genetics; Chromosomes, Human, X/genetics; Computational Biology/methods; Genetics, Population/methods; Genome, Human/*genetics; Genotype; Humans; Likelihood Functions; Models, Genetic; Models, Statistical; *Polymorphism, Single Nucleotide; Probability; Reproducibility of Results; Sequence Analysis, DNA/instrumentation/*methods; *Software&lt;/_keywords&gt;&lt;_modified&gt;66246683&lt;/_modified&gt;&lt;_pages&gt;1124-1132&lt;/_pages&gt;&lt;_place_published&gt;United States&lt;/_place_published&gt;&lt;_social_category&gt;生化与分子生物学(2) &amp;amp; 生物工程与应用微生物(1) &amp;amp; 遗传学(2)&lt;/_social_category&gt;&lt;_url&gt;https://pubmed.ncbi.nlm.nih.gov/19420381_x000d__x000a_https://www.ncbi.nlm.nih.gov/pmc/articles/PMC2694485/&lt;/_url&gt;&lt;_volume&gt;19&lt;/_volume&gt;&lt;/Details&gt;&lt;Extra&gt;&lt;DBUID&gt;{03752FAB-B361-4F66-989B-C711D9502F78}&lt;/DBUID&gt;&lt;/Extra&gt;&lt;/Item&gt;&lt;/References&gt;&lt;/Group&gt;&lt;/Citation&gt;_x000a_"/>
    <w:docVar w:name="NE.Ref{36A13D73-7DE7-4F36-8D02-6F2906524B8C}" w:val=" ADDIN NE.Ref.{36A13D73-7DE7-4F36-8D02-6F2906524B8C}&lt;Citation&gt;&lt;Group&gt;&lt;References&gt;&lt;Item&gt;&lt;ID&gt;614&lt;/ID&gt;&lt;UID&gt;{0806F1C2-9C30-48BC-9FFC-6C50B42D3D66}&lt;/UID&gt;&lt;Title&gt;Cytological and ultrastructural investigation of pathogen infection pathway and host responses in asparagus stem infected by Phomopsis asparagi&lt;/Title&gt;&lt;Template&gt;Journal Article&lt;/Template&gt;&lt;Star&gt;0&lt;/Star&gt;&lt;Tag&gt;0&lt;/Tag&gt;&lt;Author&gt;Sun, Liping; Li, Yange; Li, Xiaoting; Ruan, Xinyi; Zhao, Yueyan; Wen, Ruidong; Wei, Shuaijie; Chen, Ning; Zhang, Yulan; Li, Shufen; Gao, Wujun&lt;/Author&gt;&lt;Year&gt;2024&lt;/Year&gt;&lt;Details&gt;&lt;_doi&gt;10.1186/s42483-024-00252-x&lt;/_doi&gt;&lt;_created&gt;66260746&lt;/_created&gt;&lt;_modified&gt;66260746&lt;/_modified&gt;&lt;_url&gt;https://phytopatholres.biomedcentral.com/articles/10.1186/s42483-024-00252-x_x000d__x000a_https://link.springer.com/content/pdf/10.1186/s42483-024-00252-x.pdf&lt;/_url&gt;&lt;_journal&gt;Phytopathology Research&lt;/_journal&gt;&lt;_volume&gt;6&lt;/_volume&gt;&lt;_issue&gt;1&lt;/_issue&gt;&lt;_pages&gt;32&lt;/_pages&gt;&lt;_tertiary_title&gt;Phytopathol Res&lt;/_tertiary_title&gt;&lt;_date&gt;65484000&lt;/_date&gt;&lt;_isbn&gt;2524-4167&lt;/_isbn&gt;&lt;_accessed&gt;66260746&lt;/_accessed&gt;&lt;_db_updated&gt;CrossRef&lt;/_db_updated&gt;&lt;_impact_factor&gt;   3.200&lt;/_impact_factor&gt;&lt;_social_category&gt;植物科学(3)&lt;/_social_category&gt;&lt;_collection_scope&gt;SCIE&lt;/_collection_scope&gt;&lt;/Details&gt;&lt;Extra&gt;&lt;DBUID&gt;{03752FAB-B361-4F66-989B-C711D9502F78}&lt;/DBUID&gt;&lt;/Extra&gt;&lt;/Item&gt;&lt;/References&gt;&lt;/Group&gt;&lt;/Citation&gt;_x000a_"/>
    <w:docVar w:name="NE.Ref{3BB1A1BE-7F78-461D-B829-2D6749BCEC4B}" w:val=" ADDIN NE.Ref.{3BB1A1BE-7F78-461D-B829-2D6749BCEC4B}&lt;Citation&gt;&lt;Group&gt;&lt;References&gt;&lt;Item&gt;&lt;ID&gt;609&lt;/ID&gt;&lt;UID&gt;{D0F4CFBC-1A51-4650-BA19-7963E62DE278}&lt;/UID&gt;&lt;Title&gt;A program for annotating and predicting the effects of single nucleotide polymorphisms, SnpEff: SNPs in the genome of Drosophila melanogaster strain w1118; iso-2; iso-3&lt;/Title&gt;&lt;Template&gt;Journal Article&lt;/Template&gt;&lt;Star&gt;0&lt;/Star&gt;&lt;Tag&gt;0&lt;/Tag&gt;&lt;Author&gt;Cingolani, Pablo; Platts, Adrian; Wang, Le Lily; Coon, Melissa; Nguyen, Tung; Wang, Luan; Land, Susan J; Lu, Xiangyi; Ruden, Douglas M&lt;/Author&gt;&lt;Year&gt;2012&lt;/Year&gt;&lt;Details&gt;&lt;_date_display&gt;2012///Apr-Jun&lt;/_date_display&gt;&lt;_date&gt;2012-01-01&lt;/_date&gt;&lt;_doi&gt;10.4161/fly.19695&lt;/_doi&gt;&lt;_isbn&gt;1933-6942&lt;/_isbn&gt;&lt;_issue&gt;2&lt;/_issue&gt;&lt;_journal&gt;Fly&lt;/_journal&gt;&lt;_keywords&gt;Animals; Drosophila melanogaster/*genetics; Genome, Insect; Male; *Molecular Sequence Annotation; *Polymorphism, Single Nucleotide; *Software&lt;/_keywords&gt;&lt;_pages&gt;80-92&lt;/_pages&gt;&lt;_place_published&gt;United States&lt;/_place_published&gt;&lt;_url&gt;https://pubmed.ncbi.nlm.nih.gov/22728672_x000d__x000a_https://www.ncbi.nlm.nih.gov/pmc/articles/PMC3679285/&lt;/_url&gt;&lt;_volume&gt;6&lt;/_volume&gt;&lt;_created&gt;66246679&lt;/_created&gt;&lt;_modified&gt;66246679&lt;/_modified&gt;&lt;_db_updated&gt;PubMed&lt;/_db_updated&gt;&lt;_impact_factor&gt;   2.400&lt;/_impact_factor&gt;&lt;_social_category&gt;生化与分子生物学(4)&lt;/_social_category&gt;&lt;_collection_scope&gt;SCIE&lt;/_collection_scope&gt;&lt;/Details&gt;&lt;Extra&gt;&lt;DBUID&gt;{03752FAB-B361-4F66-989B-C711D9502F78}&lt;/DBUID&gt;&lt;/Extra&gt;&lt;/Item&gt;&lt;/References&gt;&lt;/Group&gt;&lt;/Citation&gt;_x000a_"/>
    <w:docVar w:name="NE.Ref{46B3DD2F-F8D7-45CE-A620-E4AE769561B7}" w:val=" ADDIN NE.Ref.{46B3DD2F-F8D7-45CE-A620-E4AE769561B7}&lt;Citation&gt;&lt;Group&gt;&lt;References&gt;&lt;Item&gt;&lt;ID&gt;630&lt;/ID&gt;&lt;UID&gt;{2E4F524E-7EFC-4880-B6A8-20FA3854628C}&lt;/UID&gt;&lt;Title&gt;BUSCO: assessing genome assembly and annotation completeness with single-copy orthologs&lt;/Title&gt;&lt;Template&gt;Journal Article&lt;/Template&gt;&lt;Star&gt;0&lt;/Star&gt;&lt;Tag&gt;0&lt;/Tag&gt;&lt;Author&gt;Simão, Felipe A; Waterhouse, Robert M; Ioannidis, Panagiotis; Kriventseva, Evgenia V; Zdobnov, Evgeny M&lt;/Author&gt;&lt;Year&gt;2015&lt;/Year&gt;&lt;Details&gt;&lt;_accession_num&gt;26059717&lt;/_accession_num&gt;&lt;_date_display&gt;2015/10/01&lt;/_date_display&gt;&lt;_date&gt;2015-10-01&lt;/_date&gt;&lt;_doi&gt;10.1093/bioinformatics/btv351&lt;/_doi&gt;&lt;_isbn&gt;1367-4811&lt;/_isbn&gt;&lt;_issue&gt;19&lt;/_issue&gt;&lt;_journal&gt;Bioinformatics (Oxford, England)&lt;/_journal&gt;&lt;_keywords&gt;Animals; Computational Biology/*methods; Gene Dosage/*genetics; *Genome; Genomics/*methods; Humans; Molecular Sequence Annotation/*methods; *Software&lt;/_keywords&gt;&lt;_pages&gt;3210-3212&lt;/_pages&gt;&lt;_place_published&gt;England&lt;/_place_published&gt;&lt;_url&gt;https://pubmed.ncbi.nlm.nih.gov/26059717&lt;/_url&gt;&lt;_volume&gt;31&lt;/_volume&gt;&lt;_created&gt;66269752&lt;/_created&gt;&lt;_modified&gt;66269752&lt;/_modified&gt;&lt;_db_updated&gt;PubMed&lt;/_db_updated&gt;&lt;/Details&gt;&lt;Extra&gt;&lt;DBUID&gt;{03752FAB-B361-4F66-989B-C711D9502F78}&lt;/DBUID&gt;&lt;/Extra&gt;&lt;/Item&gt;&lt;/References&gt;&lt;/Group&gt;&lt;/Citation&gt;_x000a_"/>
    <w:docVar w:name="NE.Ref{49E739AD-AF18-4F69-9884-C64F99D833F5}" w:val=" ADDIN NE.Ref.{49E739AD-AF18-4F69-9884-C64F99D833F5}&lt;Citation&gt;&lt;Group&gt;&lt;References&gt;&lt;Item&gt;&lt;ID&gt;611&lt;/ID&gt;&lt;UID&gt;{E40938DA-EF0F-4A99-8580-2DCBD3F8F569}&lt;/UID&gt;&lt;Title&gt;SNP detection for massively parallel whole-genome resequencing&lt;/Title&gt;&lt;Template&gt;Journal Article&lt;/Template&gt;&lt;Star&gt;0&lt;/Star&gt;&lt;Tag&gt;0&lt;/Tag&gt;&lt;Author&gt;Li, Ruiqiang; Li, Yingrui; Fang, Xiaodong; Yang, Huanming; Wang, Jian; Kristiansen, Karsten; Wang, Jun&lt;/Author&gt;&lt;Year&gt;2009&lt;/Year&gt;&lt;Details&gt;&lt;_date_display&gt;2009/06/&lt;/_date_display&gt;&lt;_date&gt;2009-06-01&lt;/_date&gt;&lt;_doi&gt;10.1101/gr.088013.108&lt;/_doi&gt;&lt;_isbn&gt;1088-9051&lt;/_isbn&gt;&lt;_issue&gt;6&lt;/_issue&gt;&lt;_journal&gt;Genome research&lt;/_journal&gt;&lt;_keywords&gt;Algorithms; Asian People/genetics; Chromosomes, Human, X/genetics; Computational Biology/methods; Genetics, Population/methods; Genome, Human/*genetics; Genotype; Humans; Likelihood Functions; Models, Genetic; Models, Statistical; *Polymorphism, Single Nucleotide; Probability; Reproducibility of Results; Sequence Analysis, DNA/instrumentation/*methods; *Software&lt;/_keywords&gt;&lt;_pages&gt;1124-1132&lt;/_pages&gt;&lt;_place_published&gt;United States&lt;/_place_published&gt;&lt;_url&gt;https://pubmed.ncbi.nlm.nih.gov/19420381_x000d__x000a_https://www.ncbi.nlm.nih.gov/pmc/articles/PMC2694485/&lt;/_url&gt;&lt;_volume&gt;19&lt;/_volume&gt;&lt;_created&gt;66246683&lt;/_created&gt;&lt;_modified&gt;66246683&lt;/_modified&gt;&lt;_db_updated&gt;PubMed&lt;/_db_updated&gt;&lt;_impact_factor&gt;   6.200&lt;/_impact_factor&gt;&lt;_social_category&gt;生化与分子生物学(2) &amp;amp; 生物工程与应用微生物(1) &amp;amp; 遗传学(2)&lt;/_social_category&gt;&lt;_collection_scope&gt;SCIE&lt;/_collection_scope&gt;&lt;/Details&gt;&lt;Extra&gt;&lt;DBUID&gt;{03752FAB-B361-4F66-989B-C711D9502F78}&lt;/DBUID&gt;&lt;/Extra&gt;&lt;/Item&gt;&lt;/References&gt;&lt;/Group&gt;&lt;/Citation&gt;_x000a_"/>
    <w:docVar w:name="NE.Ref{4E7BBDB7-29B0-4627-8991-32202ED869A0}" w:val=" ADDIN NE.Ref.{4E7BBDB7-29B0-4627-8991-32202ED869A0}&lt;Citation&gt;&lt;Group&gt;&lt;References&gt;&lt;Item&gt;&lt;ID&gt;584&lt;/ID&gt;&lt;UID&gt;{710A7CD9-E0B2-4501-B333-8A8CB0C90E0B}&lt;/UID&gt;&lt;Title&gt;Hi-C: a comprehensive technique to capture the conformation of genomes&lt;/Title&gt;&lt;Template&gt;Journal Article&lt;/Template&gt;&lt;Star&gt;0&lt;/Star&gt;&lt;Tag&gt;0&lt;/Tag&gt;&lt;Author&gt;Belton, Jon-Matthew; McCord, Rachel Patton; Gibcus, Johan Harmen; Naumova, Natalia; Zhan, Ye; Dekker, Job&lt;/Author&gt;&lt;Year&gt;2012&lt;/Year&gt;&lt;Details&gt;&lt;_created&gt;66236687&lt;/_created&gt;&lt;_date&gt;2012-11-01&lt;/_date&gt;&lt;_date_display&gt;2012/11/&lt;/_date_display&gt;&lt;_db_updated&gt;PubMed&lt;/_db_updated&gt;&lt;_doi&gt;10.1016/j.ymeth.2012.05.001&lt;/_doi&gt;&lt;_isbn&gt;1095-9130&lt;/_isbn&gt;&lt;_issue&gt;3&lt;/_issue&gt;&lt;_journal&gt;Methods (San Diego, Calif.)&lt;/_journal&gt;&lt;_keywords&gt;Animals; Cells, Cultured; Chromatin/*genetics; Chromosome Mapping/*methods; Cross-Linking Reagents; DNA/chemistry/genetics/isolation &amp;amp; purification; DNA Fragmentation; Epistasis, Genetic; Fixatives/chemistry; Formaldehyde/chemistry; Gene Library; Genome, Human; Humans; Nucleic Acid Conformation; Sequence Analysis, DNA; Tissue Fixation&lt;/_keywords&gt;&lt;_modified&gt;66236688&lt;/_modified&gt;&lt;_pages&gt;268-276&lt;/_pages&gt;&lt;_place_published&gt;United States&lt;/_place_published&gt;&lt;_url&gt;https://pubmed.ncbi.nlm.nih.gov/22652625_x000d__x000a_https://www.ncbi.nlm.nih.gov/pmc/articles/PMC3874846/&lt;/_url&gt;&lt;_volume&gt;58&lt;/_volume&gt;&lt;/Details&gt;&lt;Extra&gt;&lt;DBUID&gt;{03752FAB-B361-4F66-989B-C711D9502F78}&lt;/DBUID&gt;&lt;/Extra&gt;&lt;/Item&gt;&lt;/References&gt;&lt;/Group&gt;&lt;/Citation&gt;_x000a_"/>
    <w:docVar w:name="NE.Ref{56B9F156-37A5-44AD-8C53-B01CD1A6AF8D}" w:val=" ADDIN NE.Ref.{56B9F156-37A5-44AD-8C53-B01CD1A6AF8D}&lt;Citation&gt;&lt;Group&gt;&lt;References&gt;&lt;Item&gt;&lt;ID&gt;656&lt;/ID&gt;&lt;UID&gt;{EFC9181A-F516-4371-B05F-D3C110A6675C}&lt;/UID&gt;&lt;Title&gt;Drivers of diversification in fungal pathogen populations&lt;/Title&gt;&lt;Template&gt;Journal Article&lt;/Template&gt;&lt;Star&gt;0&lt;/Star&gt;&lt;Tag&gt;0&lt;/Tag&gt;&lt;Author&gt;Murante, Daniel; Hogan, Deborah Ann&lt;/Author&gt;&lt;Year&gt;2024&lt;/Year&gt;&lt;Details&gt;&lt;_accession_num&gt;39264909&lt;/_accession_num&gt;&lt;_collection_scope&gt;SCIE&lt;/_collection_scope&gt;&lt;_created&gt;66400886&lt;/_created&gt;&lt;_date&gt;2024-09-12&lt;/_date&gt;&lt;_date_display&gt;2024/09/12&lt;/_date_display&gt;&lt;_db_updated&gt;PubMed&lt;/_db_updated&gt;&lt;_doi&gt;10.1371/journal.ppat.1012430&lt;/_doi&gt;&lt;_impact_factor&gt;   5.500&lt;/_impact_factor&gt;&lt;_isbn&gt;1553-7374&lt;/_isbn&gt;&lt;_issue&gt;9&lt;/_issue&gt;&lt;_journal&gt;PLoS pathogens&lt;/_journal&gt;&lt;_keywords&gt;Humans; *Fungi/genetics/pathogenicity; *Mycoses/microbiology/immunology; Genetic Variation; Animals&lt;/_keywords&gt;&lt;_modified&gt;66400886&lt;/_modified&gt;&lt;_pages&gt;e1012430&lt;/_pages&gt;&lt;_place_published&gt;United States&lt;/_place_published&gt;&lt;_social_category&gt;微生物学(1) &amp;amp; 寄生虫学(1) &amp;amp; 病毒学(1)&lt;/_social_category&gt;&lt;_url&gt;https://pubmed.ncbi.nlm.nih.gov/39264909_x000d__x000a_https://www.ncbi.nlm.nih.gov/pmc/articles/PMC11392411/&lt;/_url&gt;&lt;_volume&gt;20&lt;/_volume&gt;&lt;/Details&gt;&lt;Extra&gt;&lt;DBUID&gt;{03752FAB-B361-4F66-989B-C711D9502F78}&lt;/DBUID&gt;&lt;/Extra&gt;&lt;/Item&gt;&lt;/References&gt;&lt;/Group&gt;&lt;/Citation&gt;_x000a_"/>
    <w:docVar w:name="NE.Ref{5FC7D5B9-CF99-46B4-ABE6-1BB6CCFF1043}" w:val=" ADDIN NE.Ref.{5FC7D5B9-CF99-46B4-ABE6-1BB6CCFF1043}&lt;Citation&gt;&lt;Group&gt;&lt;References&gt;&lt;Item&gt;&lt;ID&gt;629&lt;/ID&gt;&lt;UID&gt;{8E990001-F130-41D5-A451-E2FE909ED8A6}&lt;/UID&gt;&lt;Title&gt;The Fusarium graminearum genome reveals a link between localized polymorphism and pathogen specialization&lt;/Title&gt;&lt;Template&gt;Journal Article&lt;/Template&gt;&lt;Star&gt;0&lt;/Star&gt;&lt;Tag&gt;0&lt;/Tag&gt;&lt;Author&gt;Cuomo, Christina A; Güldener, Ulrich; Xu, Jin-Rong; Trail, Frances; Turgeon, B Gillian; Di Pietro, Antonio; Walton, Jonathan D; Ma, Li-Jun; Baker, Scott E; Rep, Martijn; Adam, Gerhard; Antoniw, John; Baldwin, Thomas; Calvo, Sarah; Chang, Yueh-Long; Decaprio, David; Gale, Liane R; Gnerre, Sante; Goswami, Rubella S; Hammond-Kosack, Kim; Harris, Linda J; Hilburn, Karen; Kennell, John C; Kroken, Scott; Magnuson, Jon K; Mannhaupt, Gertrud; Mauceli, Evan; Mewes, Hans-Werner; Mitterbauer, Rudolf; Muehlbauer, Gary; Münsterkötter, Martin; Nelson, David; O&amp;apos;Donnell, Kerry; Ouellet, Thérèse; Qi, Weihong; Quesneville, Hadi; Roncero, M Isabel G; Seong, Kye-Yong; Tetko, Igor V; Urban, Martin; Waalwijk, Cees; Ward, Todd J; Yao, Jiqiang; Birren, Bruce W; Kistler, H Corby&lt;/Author&gt;&lt;Year&gt;2007&lt;/Year&gt;&lt;Details&gt;&lt;_accession_num&gt;17823352&lt;/_accession_num&gt;&lt;_created&gt;66262212&lt;/_created&gt;&lt;_date&gt;2007-09-07&lt;/_date&gt;&lt;_date_display&gt;2007/09/07&lt;/_date_display&gt;&lt;_db_updated&gt;PubMed&lt;/_db_updated&gt;&lt;_doi&gt;10.1126/science.1143708&lt;/_doi&gt;&lt;_isbn&gt;1095-9203&lt;/_isbn&gt;&lt;_issue&gt;5843&lt;/_issue&gt;&lt;_journal&gt;Science (New York, N.Y.)&lt;/_journal&gt;&lt;_keywords&gt;DNA, Fungal; Evolution, Molecular; Fusarium/*genetics/physiology; *Genome, Fungal; Hordeum/microbiology; Molecular Sequence Data; Plant Diseases/microbiology; Point Mutation; *Polymorphism, Genetic; Polymorphism, Single Nucleotide; Sequence Analysis, DNA&lt;/_keywords&gt;&lt;_modified&gt;66262212&lt;/_modified&gt;&lt;_pages&gt;1400-1402&lt;/_pages&gt;&lt;_place_published&gt;United States&lt;/_place_published&gt;&lt;_url&gt;https://pubmed.ncbi.nlm.nih.gov/17823352&lt;/_url&gt;&lt;_volume&gt;317&lt;/_volume&gt;&lt;/Details&gt;&lt;Extra&gt;&lt;DBUID&gt;{03752FAB-B361-4F66-989B-C711D9502F78}&lt;/DBUID&gt;&lt;/Extra&gt;&lt;/Item&gt;&lt;/References&gt;&lt;/Group&gt;&lt;/Citation&gt;_x000a_"/>
    <w:docVar w:name="NE.Ref{676FE7D4-C2E4-49B7-BC3D-0528E8E455C8}" w:val=" ADDIN NE.Ref.{676FE7D4-C2E4-49B7-BC3D-0528E8E455C8}&lt;Citation&gt;&lt;Group&gt;&lt;References&gt;&lt;Item&gt;&lt;ID&gt;614&lt;/ID&gt;&lt;UID&gt;{0806F1C2-9C30-48BC-9FFC-6C50B42D3D66}&lt;/UID&gt;&lt;Title&gt;Cytological and ultrastructural investigation of pathogen infection pathway and host responses in asparagus stem infected by Phomopsis asparagi&lt;/Title&gt;&lt;Template&gt;Journal Article&lt;/Template&gt;&lt;Star&gt;0&lt;/Star&gt;&lt;Tag&gt;0&lt;/Tag&gt;&lt;Author&gt;Sun, Liping; Li, Yange; Li, Xiaoting; Ruan, Xinyi; Zhao, Yueyan; Wen, Ruidong; Wei, Shuaijie; Chen, Ning; Zhang, Yulan; Li, Shufen; Gao, Wujun&lt;/Author&gt;&lt;Year&gt;2024&lt;/Year&gt;&lt;Details&gt;&lt;_accessed&gt;66260746&lt;/_accessed&gt;&lt;_collection_scope&gt;SCIE&lt;/_collection_scope&gt;&lt;_created&gt;66260746&lt;/_created&gt;&lt;_date&gt;65484000&lt;/_date&gt;&lt;_db_updated&gt;CrossRef&lt;/_db_updated&gt;&lt;_doi&gt;10.1186/s42483-024-00252-x&lt;/_doi&gt;&lt;_impact_factor&gt;   3.200&lt;/_impact_factor&gt;&lt;_isbn&gt;2524-4167&lt;/_isbn&gt;&lt;_issue&gt;1&lt;/_issue&gt;&lt;_journal&gt;Phytopathology Research&lt;/_journal&gt;&lt;_modified&gt;66260746&lt;/_modified&gt;&lt;_pages&gt;32&lt;/_pages&gt;&lt;_social_category&gt;植物科学(3)&lt;/_social_category&gt;&lt;_tertiary_title&gt;Phytopathol Res&lt;/_tertiary_title&gt;&lt;_url&gt;https://phytopatholres.biomedcentral.com/articles/10.1186/s42483-024-00252-x_x000d__x000a_https://link.springer.com/content/pdf/10.1186/s42483-024-00252-x.pdf&lt;/_url&gt;&lt;_volume&gt;6&lt;/_volume&gt;&lt;/Details&gt;&lt;Extra&gt;&lt;DBUID&gt;{03752FAB-B361-4F66-989B-C711D9502F78}&lt;/DBUID&gt;&lt;/Extra&gt;&lt;/Item&gt;&lt;/References&gt;&lt;/Group&gt;&lt;Group&gt;&lt;References&gt;&lt;Item&gt;&lt;ID&gt;618&lt;/ID&gt;&lt;UID&gt;{01331776-E7A1-48ED-AF49-A80CD98B9D94}&lt;/UID&gt;&lt;Title&gt;Evaluating the Sensitivities and Efficacies of Fungicides with Different Modes of Action Against Phomopsis asparagi&lt;/Title&gt;&lt;Template&gt;Journal Article&lt;/Template&gt;&lt;Star&gt;0&lt;/Star&gt;&lt;Tag&gt;0&lt;/Tag&gt;&lt;Author&gt;Shi, Niuniu; Ruan, Hongchun; Gan, Lin; Dai, Yuli; Yang, Xiujuan; Du, Yixin; Chen, Furu&lt;/Author&gt;&lt;Year&gt;2020&lt;/Year&gt;&lt;Details&gt;&lt;_accessed&gt;66260862&lt;/_accessed&gt;&lt;_collection_scope&gt;SCIE&lt;/_collection_scope&gt;&lt;_created&gt;66260862&lt;/_created&gt;&lt;_date&gt;63113760&lt;/_date&gt;&lt;_date_display&gt;2020&lt;/_date_display&gt;&lt;_db_updated&gt;PKU Search&lt;/_db_updated&gt;&lt;_doi&gt;10.1094/PDIS-05-19-1040-RE&lt;/_doi&gt;&lt;_impact_factor&gt;   4.400&lt;/_impact_factor&gt;&lt;_isbn&gt;0191-2917&lt;/_isbn&gt;&lt;_issue&gt;2&lt;/_issue&gt;&lt;_journal&gt;Plant disease&lt;/_journal&gt;&lt;_keywords&gt;Ascomycota; Asparagus Plant; China; Fungicides, Industrial; Mitosporic Fungi&lt;/_keywords&gt;&lt;_modified&gt;66260862&lt;/_modified&gt;&lt;_number&gt;1&lt;/_number&gt;&lt;_pages&gt;448&lt;/_pages&gt;&lt;_place_published&gt;United States&lt;/_place_published&gt;&lt;_social_category&gt;植物科学(2)&lt;/_social_category&gt;&lt;_url&gt;https://go.exlibris.link/zdLlQMmM&lt;/_url&gt;&lt;_volume&gt;104&lt;/_volume&gt;&lt;/Details&gt;&lt;Extra&gt;&lt;DBUID&gt;{03752FAB-B361-4F66-989B-C711D9502F78}&lt;/DBUID&gt;&lt;/Extra&gt;&lt;/Item&gt;&lt;/References&gt;&lt;/Group&gt;&lt;/Citation&gt;_x000a_"/>
    <w:docVar w:name="NE.Ref{6D64B87E-A73A-4222-B460-FCBE1D00C854}" w:val=" ADDIN NE.Ref.{6D64B87E-A73A-4222-B460-FCBE1D00C854}&lt;Citation&gt;&lt;Group&gt;&lt;References&gt;&lt;Item&gt;&lt;ID&gt;613&lt;/ID&gt;&lt;UID&gt;{5E0DC3A4-39E1-4CBB-900D-EA282931F498}&lt;/UID&gt;&lt;Title&gt;Biological Characteristics and Genetic Diversity of Phomopsis asparagi, Causal Agent of Asparagus Stem Blight&lt;/Title&gt;&lt;Template&gt;Journal Article&lt;/Template&gt;&lt;Star&gt;0&lt;/Star&gt;&lt;Tag&gt;0&lt;/Tag&gt;&lt;Author&gt;Yang, Y Q; Sun, Q; Li, C M; Chen, H F; Zhao, F; Huang, J H; Zhou, J S; Li, X M; Lan, B&lt;/Author&gt;&lt;Year&gt;2020&lt;/Year&gt;&lt;Details&gt;&lt;_accession_num&gt;33006915&lt;/_accession_num&gt;&lt;_collection_scope&gt;SCIE&lt;/_collection_scope&gt;&lt;_created&gt;66260738&lt;/_created&gt;&lt;_date&gt;2020-11-01&lt;/_date&gt;&lt;_date_display&gt;2020/11/&lt;/_date_display&gt;&lt;_db_updated&gt;PubMed&lt;/_db_updated&gt;&lt;_doi&gt;10.1094/PDIS-07-19-1484-RE&lt;/_doi&gt;&lt;_impact_factor&gt;   4.400&lt;/_impact_factor&gt;&lt;_isbn&gt;0191-2917&lt;/_isbn&gt;&lt;_issue&gt;11&lt;/_issue&gt;&lt;_journal&gt;Plant disease&lt;/_journal&gt;&lt;_keywords&gt;ISSR-PCR; P. asparagi; asparagus stem blight; biological characteristics; genetic diversity; *Ascomycota/genetics; *Asparagus Plant; Genetic Variation; *Mitosporic Fungi; Phylogeny&lt;/_keywords&gt;&lt;_modified&gt;66260738&lt;/_modified&gt;&lt;_pages&gt;2898-2904&lt;/_pages&gt;&lt;_place_published&gt;United States&lt;/_place_published&gt;&lt;_social_category&gt;植物科学(2)&lt;/_social_category&gt;&lt;_url&gt;https://pubmed.ncbi.nlm.nih.gov/33006915&lt;/_url&gt;&lt;_volume&gt;104&lt;/_volume&gt;&lt;/Details&gt;&lt;Extra&gt;&lt;DBUID&gt;{03752FAB-B361-4F66-989B-C711D9502F78}&lt;/DBUID&gt;&lt;/Extra&gt;&lt;/Item&gt;&lt;/References&gt;&lt;/Group&gt;&lt;/Citation&gt;_x000a_"/>
    <w:docVar w:name="NE.Ref{6EE539E0-FD0A-4925-87F7-D7481B895434}" w:val=" ADDIN NE.Ref.{6EE539E0-FD0A-4925-87F7-D7481B895434}&lt;Citation&gt;&lt;Group&gt;&lt;References&gt;&lt;Item&gt;&lt;ID&gt;626&lt;/ID&gt;&lt;UID&gt;{F0F448E8-C2E7-4799-95F2-4127513FC4A9}&lt;/UID&gt;&lt;Title&gt;CRISPR-based SNP detection technologies advance from classical methods to cutting-edge innovations&lt;/Title&gt;&lt;Template&gt;Journal Article&lt;/Template&gt;&lt;Star&gt;0&lt;/Star&gt;&lt;Tag&gt;0&lt;/Tag&gt;&lt;Author&gt;Zhuang, Songkuan; Bai, Botao; Liu, Yizhen&lt;/Author&gt;&lt;Year&gt;2025&lt;/Year&gt;&lt;Details&gt;&lt;_accession_num&gt;40813265&lt;/_accession_num&gt;&lt;_created&gt;66262200&lt;/_created&gt;&lt;_date&gt;2025-08-28&lt;/_date&gt;&lt;_date_display&gt;2025/08/28&lt;/_date_display&gt;&lt;_db_updated&gt;PubMed&lt;/_db_updated&gt;&lt;_doi&gt;10.1039/d5cc03655k&lt;/_doi&gt;&lt;_isbn&gt;1364-548X&lt;/_isbn&gt;&lt;_issue&gt;71&lt;/_issue&gt;&lt;_journal&gt;Chemical communications (Cambridge, England)&lt;/_journal&gt;&lt;_keywords&gt;*Polymorphism, Single Nucleotide/genetics; *CRISPR-Cas Systems/genetics; Humans; *Clustered Regularly Interspaced Short Palindromic Repeats&lt;/_keywords&gt;&lt;_modified&gt;66262202&lt;/_modified&gt;&lt;_pages&gt;13345-13358&lt;/_pages&gt;&lt;_place_published&gt;England&lt;/_place_published&gt;&lt;_url&gt;https://pubmed.ncbi.nlm.nih.gov/40813265&lt;/_url&gt;&lt;_volume&gt;61&lt;/_volume&gt;&lt;/Details&gt;&lt;Extra&gt;&lt;DBUID&gt;{03752FAB-B361-4F66-989B-C711D9502F78}&lt;/DBUID&gt;&lt;/Extra&gt;&lt;/Item&gt;&lt;/References&gt;&lt;/Group&gt;&lt;/Citation&gt;_x000a_"/>
    <w:docVar w:name="NE.Ref{6EF2FB73-0F7B-41A4-84ED-1388075025FE}" w:val=" ADDIN NE.Ref.{6EF2FB73-0F7B-41A4-84ED-1388075025FE}&lt;Citation&gt;&lt;Group&gt;&lt;References&gt;&lt;Item&gt;&lt;ID&gt;608&lt;/ID&gt;&lt;UID&gt;{11F84328-0B6D-4839-B498-2667177AB97C}&lt;/UID&gt;&lt;Title&gt;KEGG for linking genomes to life and the environment&lt;/Title&gt;&lt;Template&gt;Journal Article&lt;/Template&gt;&lt;Star&gt;0&lt;/Star&gt;&lt;Tag&gt;0&lt;/Tag&gt;&lt;Author&gt;Kanehisa, Minoru; Araki, Michihiro; Goto, Susumu; Hattori, Masahiro; Hirakawa, Mika; Itoh, Masumi; Katayama, Toshiaki; Kawashima, Shuichi; Okuda, Shujiro; Tokimatsu, Toshiaki; Yamanishi, Yoshihiro&lt;/Author&gt;&lt;Year&gt;2008&lt;/Year&gt;&lt;Details&gt;&lt;_collection_scope&gt;SCIE&lt;/_collection_scope&gt;&lt;_created&gt;66246337&lt;/_created&gt;&lt;_date&gt;2008-01-01&lt;/_date&gt;&lt;_date_display&gt;2008/01/&lt;/_date_display&gt;&lt;_db_updated&gt;PubMed&lt;/_db_updated&gt;&lt;_doi&gt;10.1093/nar/gkm882&lt;/_doi&gt;&lt;_impact_factor&gt;  16.600&lt;/_impact_factor&gt;&lt;_isbn&gt;1362-4962&lt;/_isbn&gt;&lt;_issue&gt;Database issue&lt;/_issue&gt;&lt;_journal&gt;Nucleic acids research&lt;/_journal&gt;&lt;_keywords&gt;*Databases, Factual; Disease; *Genomics; Humans; Internet; Metabolic Networks and Pathways; Molecular Structure; Pharmaceutical Preparations/chemistry; *Systems Biology; Systems Integration; User-Computer Interface&lt;/_keywords&gt;&lt;_modified&gt;66246337&lt;/_modified&gt;&lt;_pages&gt;D480-D484&lt;/_pages&gt;&lt;_place_published&gt;England&lt;/_place_published&gt;&lt;_social_category&gt;生化与分子生物学(2)&lt;/_social_category&gt;&lt;_url&gt;https://pubmed.ncbi.nlm.nih.gov/18077471_x000d__x000a_https://www.ncbi.nlm.nih.gov/pmc/articles/PMC2238879/&lt;/_url&gt;&lt;_volume&gt;36&lt;/_volume&gt;&lt;/Details&gt;&lt;Extra&gt;&lt;DBUID&gt;{03752FAB-B361-4F66-989B-C711D9502F78}&lt;/DBUID&gt;&lt;/Extra&gt;&lt;/Item&gt;&lt;/References&gt;&lt;/Group&gt;&lt;Group&gt;&lt;References&gt;&lt;Item&gt;&lt;ID&gt;607&lt;/ID&gt;&lt;UID&gt;{77987CB7-5C8D-4F6A-9F7C-2A03CC65E815}&lt;/UID&gt;&lt;Title&gt;KAAS: an automatic genome annotation and pathway reconstruction server&lt;/Title&gt;&lt;Template&gt;Journal Article&lt;/Template&gt;&lt;Star&gt;0&lt;/Star&gt;&lt;Tag&gt;0&lt;/Tag&gt;&lt;Author&gt;Moriya, Yuki; Itoh, Masumi; Okuda, Shujiro; Yoshizawa, Akiyasu C; Kanehisa, Minoru&lt;/Author&gt;&lt;Year&gt;2007&lt;/Year&gt;&lt;Details&gt;&lt;_collection_scope&gt;SCIE&lt;/_collection_scope&gt;&lt;_created&gt;66246336&lt;/_created&gt;&lt;_date&gt;2007-07-01&lt;/_date&gt;&lt;_date_display&gt;2007/07/&lt;/_date_display&gt;&lt;_db_updated&gt;PubMed&lt;/_db_updated&gt;&lt;_doi&gt;10.1093/nar/gkm321&lt;/_doi&gt;&lt;_impact_factor&gt;  16.600&lt;/_impact_factor&gt;&lt;_isbn&gt;1362-4962&lt;/_isbn&gt;&lt;_issue&gt;Web Server issue&lt;/_issue&gt;&lt;_journal&gt;Nucleic acids research&lt;/_journal&gt;&lt;_keywords&gt;Animals; Artificial Intelligence; Automation; Chromosome Mapping/*methods; Computational Biology/*methods; Database Management Systems; Documentation/*methods; *Genome; Humans; Information Storage and Retrieval/methods; Internet; Proteome/*classification/*metabolism; Sequence Analysis/*methods; Signal Transduction/*physiology; *Vocabulary, Controlled&lt;/_keywords&gt;&lt;_modified&gt;66246336&lt;/_modified&gt;&lt;_pages&gt;W182-W185&lt;/_pages&gt;&lt;_place_published&gt;England&lt;/_place_published&gt;&lt;_social_category&gt;生化与分子生物学(2)&lt;/_social_category&gt;&lt;_url&gt;https://pubmed.ncbi.nlm.nih.gov/17526522_x000d__x000a_https://www.ncbi.nlm.nih.gov/pmc/articles/PMC1933193/&lt;/_url&gt;&lt;_volume&gt;35&lt;/_volume&gt;&lt;/Details&gt;&lt;Extra&gt;&lt;DBUID&gt;{03752FAB-B361-4F66-989B-C711D9502F78}&lt;/DBUID&gt;&lt;/Extra&gt;&lt;/Item&gt;&lt;/References&gt;&lt;/Group&gt;&lt;/Citation&gt;_x000a_"/>
    <w:docVar w:name="NE.Ref{700CEE8A-D0FD-4CBE-BB76-F303E8AD183D}" w:val=" ADDIN NE.Ref.{700CEE8A-D0FD-4CBE-BB76-F303E8AD183D}&lt;Citation&gt;&lt;Group&gt;&lt;References&gt;&lt;Item&gt;&lt;ID&gt;628&lt;/ID&gt;&lt;UID&gt;{575C2F50-AA69-4576-BBA6-2E09B0FF6BA0}&lt;/UID&gt;&lt;Title&gt;The genome sequence of the rice blast fungus Magnaporthe grisea&lt;/Title&gt;&lt;Template&gt;Journal Article&lt;/Template&gt;&lt;Star&gt;0&lt;/Star&gt;&lt;Tag&gt;0&lt;/Tag&gt;&lt;Author&gt;Dean, Ralph A; Talbot, Nicholas J; Ebbole, Daniel J; Farman, Mark L; Mitchell, Thomas K; Orbach, Marc J; Thon, Michael; Kulkarni, Resham; Xu, Jin-Rong; Pan, Huaqin; Read, Nick D; Lee, Yong-Hwan; Carbone, Ignazio; Brown, Doug; Oh, Yeon Yee; Donofrio, Nicole; Jeong, Jun Seop; Soanes, Darren M; Djonovic, Slavica; Kolomiets, Elena; Rehmeyer, Cathryn; Li, Weixi; Harding, Michael; Kim, Soonok; Lebrun, Marc-Henri; Bohnert, Heidi; Coughlan, Sean; Butler, Jonathan; Calvo, Sarah; Ma, Li-Jun; Nicol, Robert; Purcell, Seth; Nusbaum, Chad; Galagan, James E; Birren, Bruce W&lt;/Author&gt;&lt;Year&gt;2005&lt;/Year&gt;&lt;Details&gt;&lt;_accession_num&gt;15846337&lt;/_accession_num&gt;&lt;_collection_scope&gt;SCIE&lt;/_collection_scope&gt;&lt;_created&gt;66262210&lt;/_created&gt;&lt;_date&gt;2005-04-21&lt;/_date&gt;&lt;_date_display&gt;2005/04/21&lt;/_date_display&gt;&lt;_db_updated&gt;PubMed&lt;/_db_updated&gt;&lt;_doi&gt;10.1038/nature03449&lt;/_doi&gt;&lt;_impact_factor&gt;  50.500&lt;/_impact_factor&gt;&lt;_isbn&gt;1476-4687&lt;/_isbn&gt;&lt;_issue&gt;7036&lt;/_issue&gt;&lt;_journal&gt;Nature&lt;/_journal&gt;&lt;_keywords&gt;Fungal Proteins/genetics/metabolism; Genes, Fungal/genetics; *Genome, Fungal; Guanosine Diphosphate/metabolism; Guanosine Triphosphate/metabolism; Magnaporthe/classification/*genetics/metabolism/pathogenicity; Oryza/*microbiology; Plant Diseases/microbiology; Point Mutation/genetics; Proteome/genetics/metabolism; Receptors, G-Protein-Coupled/genetics; Repetitive Sequences, Nucleic Acid/genetics; Saccharomyces cerevisiae/metabolism; Signal Transduction; Virulence/genetics&lt;/_keywords&gt;&lt;_modified&gt;66262210&lt;/_modified&gt;&lt;_pages&gt;980-986&lt;/_pages&gt;&lt;_place_published&gt;England&lt;/_place_published&gt;&lt;_social_category&gt;综合性期刊(1)&lt;/_social_category&gt;&lt;_url&gt;https://pubmed.ncbi.nlm.nih.gov/15846337&lt;/_url&gt;&lt;_volume&gt;434&lt;/_volume&gt;&lt;/Details&gt;&lt;Extra&gt;&lt;DBUID&gt;{03752FAB-B361-4F66-989B-C711D9502F78}&lt;/DBUID&gt;&lt;/Extra&gt;&lt;/Item&gt;&lt;/References&gt;&lt;/Group&gt;&lt;/Citation&gt;_x000a_"/>
    <w:docVar w:name="NE.Ref{743DF457-F33D-4F08-9EF6-C3F4B7F5F30C}" w:val=" ADDIN NE.Ref.{743DF457-F33D-4F08-9EF6-C3F4B7F5F30C}&lt;Citation&gt;&lt;Group&gt;&lt;References&gt;&lt;Item&gt;&lt;ID&gt;657&lt;/ID&gt;&lt;UID&gt;{895E3C0B-4002-4E39-8BAA-F4C59AF2C77B}&lt;/UID&gt;&lt;Title&gt;Efficient de novo assembly of highly heterozygous genomes from whole-genome shotgun short reads&lt;/Title&gt;&lt;Template&gt;Journal Article&lt;/Template&gt;&lt;Star&gt;0&lt;/Star&gt;&lt;Tag&gt;0&lt;/Tag&gt;&lt;Author&gt;Kajitani, Rei; Toshimoto, Kouta; Noguchi, Hideki; Toyoda, Atsushi; Ogura, Yoshitoshi; Okuno, Miki; Yabana, Mitsuru; Harada, Masayuki; Nagayasu, Eiji; Maruyama, Haruhiko; Kohara, Yuji; Fujiyama, Asao; Hayashi, Tetsuya; Itoh, Takehiko&lt;/Author&gt;&lt;Year&gt;2014&lt;/Year&gt;&lt;Details&gt;&lt;_accession_num&gt;24755901&lt;/_accession_num&gt;&lt;_collection_scope&gt;SCIE&lt;/_collection_scope&gt;&lt;_created&gt;66494542&lt;/_created&gt;&lt;_date&gt;2014-08-01&lt;/_date&gt;&lt;_date_display&gt;2014/08/&lt;/_date_display&gt;&lt;_db_updated&gt;PubMed&lt;/_db_updated&gt;&lt;_doi&gt;10.1101/gr.170720.113&lt;/_doi&gt;&lt;_impact_factor&gt;   6.200&lt;/_impact_factor&gt;&lt;_isbn&gt;1549-5469&lt;/_isbn&gt;&lt;_issue&gt;8&lt;/_issue&gt;&lt;_journal&gt;Genome research&lt;/_journal&gt;&lt;_keywords&gt;Animals; Caenorhabditis elegans/genetics; *Contig Mapping; Genome, Helminth; Heterozygote; Ostreidae/genetics; Sequence Analysis, DNA; *Software&lt;/_keywords&gt;&lt;_modified&gt;66494542&lt;/_modified&gt;&lt;_pages&gt;1384-1395&lt;/_pages&gt;&lt;_place_published&gt;United States&lt;/_place_published&gt;&lt;_social_category&gt;生化与分子生物学(2) &amp;amp; 生物工程与应用微生物(1) &amp;amp; 遗传学(2)&lt;/_social_category&gt;&lt;_url&gt;https://pubmed.ncbi.nlm.nih.gov/24755901_x000d__x000a_https://www.ncbi.nlm.nih.gov/pmc/articles/PMC4120091/&lt;/_url&gt;&lt;_volume&gt;24&lt;/_volume&gt;&lt;/Details&gt;&lt;Extra&gt;&lt;DBUID&gt;{03752FAB-B361-4F66-989B-C711D9502F78}&lt;/DBUID&gt;&lt;/Extra&gt;&lt;/Item&gt;&lt;/References&gt;&lt;/Group&gt;&lt;/Citation&gt;_x000a_"/>
    <w:docVar w:name="NE.Ref{7F288E5B-012E-4C56-850C-3B5B46FB85E6}" w:val=" ADDIN NE.Ref.{7F288E5B-012E-4C56-850C-3B5B46FB85E6}&lt;Citation&gt;&lt;Group&gt;&lt;References&gt;&lt;Item&gt;&lt;ID&gt;585&lt;/ID&gt;&lt;UID&gt;{C47806AB-3B12-4F3C-B95E-3F3AE8F2B9EE}&lt;/UID&gt;&lt;Title&gt;A fast, lock-free approach for efficient parallel counting of occurrences of k-mers&lt;/Title&gt;&lt;Template&gt;Journal Article&lt;/Template&gt;&lt;Star&gt;0&lt;/Star&gt;&lt;Tag&gt;0&lt;/Tag&gt;&lt;Author&gt;Marçais, Guillaume; Kingsford, Carl&lt;/Author&gt;&lt;Year&gt;2011&lt;/Year&gt;&lt;Details&gt;&lt;_created&gt;66236698&lt;/_created&gt;&lt;_date&gt;2011-03-15&lt;/_date&gt;&lt;_date_display&gt;2011/03/15&lt;/_date_display&gt;&lt;_db_updated&gt;PubMed&lt;/_db_updated&gt;&lt;_doi&gt;10.1093/bioinformatics/btr011&lt;/_doi&gt;&lt;_isbn&gt;1367-4811&lt;/_isbn&gt;&lt;_issue&gt;6&lt;/_issue&gt;&lt;_journal&gt;Bioinformatics (Oxford, England)&lt;/_journal&gt;&lt;_keywords&gt;*Algorithms; Animals; Base Sequence; Computational Biology/*methods; Genome; Humans; Sequence Alignment; Sequence Analysis, DNA/*methods; *Software&lt;/_keywords&gt;&lt;_modified&gt;66236698&lt;/_modified&gt;&lt;_pages&gt;764-770&lt;/_pages&gt;&lt;_place_published&gt;England&lt;/_place_published&gt;&lt;_url&gt;https://pubmed.ncbi.nlm.nih.gov/21217122_x000d__x000a_https://www.ncbi.nlm.nih.gov/pmc/articles/PMC3051319/&lt;/_url&gt;&lt;_volume&gt;27&lt;/_volume&gt;&lt;/Details&gt;&lt;Extra&gt;&lt;DBUID&gt;{03752FAB-B361-4F66-989B-C711D9502F78}&lt;/DBUID&gt;&lt;/Extra&gt;&lt;/Item&gt;&lt;/References&gt;&lt;/Group&gt;&lt;/Citation&gt;_x000a_"/>
    <w:docVar w:name="NE.Ref{8D6EC450-C753-4F88-A0E9-F1934C812FFA}" w:val=" ADDIN NE.Ref.{8D6EC450-C753-4F88-A0E9-F1934C812FFA}&lt;Citation&gt;&lt;Group&gt;&lt;References&gt;&lt;Item&gt;&lt;ID&gt;588&lt;/ID&gt;&lt;UID&gt;{43E357AB-AE14-4DF8-BD2C-0DBBA34CEBAF}&lt;/UID&gt;&lt;Title&gt;Improved prediction of signal peptides: SignalP 3.0&lt;/Title&gt;&lt;Template&gt;Journal Article&lt;/Template&gt;&lt;Star&gt;0&lt;/Star&gt;&lt;Tag&gt;0&lt;/Tag&gt;&lt;Author&gt;Bendtsen, Jannick Dyrløv; Nielsen, Henrik; von Heijne, Gunnar; Brunak, Søren&lt;/Author&gt;&lt;Year&gt;2004&lt;/Year&gt;&lt;Details&gt;&lt;_collection_scope&gt;SCIE&lt;/_collection_scope&gt;&lt;_created&gt;66239612&lt;/_created&gt;&lt;_date&gt;2004-07-16&lt;/_date&gt;&lt;_date_display&gt;2004/07/16&lt;/_date_display&gt;&lt;_db_updated&gt;PubMed&lt;/_db_updated&gt;&lt;_doi&gt;10.1016/j.jmb.2004.05.028&lt;/_doi&gt;&lt;_impact_factor&gt;   4.700&lt;/_impact_factor&gt;&lt;_isbn&gt;0022-2836&lt;/_isbn&gt;&lt;_issue&gt;4&lt;/_issue&gt;&lt;_journal&gt;Journal of molecular biology&lt;/_journal&gt;&lt;_keywords&gt;Algorithms; Amino Acid Sequence; Amino Acids/chemistry; Chemical Phenomena; Chemistry, Physical; Computer Systems; Databases, Factual; Eukaryotic Cells/chemistry; False Positive Reactions; Gram-Negative Bacteria/chemistry; Gram-Positive Bacteria/chemistry; Internet; Isoelectric Point; Markov Chains; Neural Networks, Computer; Peptide Hydrolases/chemistry; Protein Precursors/chemistry; *Protein Sorting Signals; Proteins/*metabolism; Sensitivity and Specificity&lt;/_keywords&gt;&lt;_modified&gt;66239612&lt;/_modified&gt;&lt;_pages&gt;783-795&lt;/_pages&gt;&lt;_place_published&gt;Netherlands&lt;/_place_published&gt;&lt;_social_category&gt;生化与分子生物学(3)&lt;/_social_category&gt;&lt;_url&gt;https://pubmed.ncbi.nlm.nih.gov/15223320&lt;/_url&gt;&lt;_volume&gt;340&lt;/_volume&gt;&lt;/Details&gt;&lt;Extra&gt;&lt;DBUID&gt;{03752FAB-B361-4F66-989B-C711D9502F78}&lt;/DBUID&gt;&lt;/Extra&gt;&lt;/Item&gt;&lt;/References&gt;&lt;/Group&gt;&lt;/Citation&gt;_x000a_"/>
    <w:docVar w:name="NE.Ref{91865101-670D-4E5E-8E60-ACAE64D74CCB}" w:val=" ADDIN NE.Ref.{91865101-670D-4E5E-8E60-ACAE64D74CCB}&lt;Citation&gt;&lt;Group&gt;&lt;References&gt;&lt;Item&gt;&lt;ID&gt;658&lt;/ID&gt;&lt;UID&gt;{1EB1025D-B9C5-4F6D-9FF1-9399930FB285}&lt;/UID&gt;&lt;Title&gt;Haplotype-resolved de novo assembly using phased assembly graphs with hifiasm&lt;/Title&gt;&lt;Template&gt;Journal Article&lt;/Template&gt;&lt;Star&gt;0&lt;/Star&gt;&lt;Tag&gt;0&lt;/Tag&gt;&lt;Author&gt;Cheng, Haoyu; Concepcion, Gregory T; Feng, Xiaowen; Zhang, Haowen; Li, Heng&lt;/Author&gt;&lt;Year&gt;2021&lt;/Year&gt;&lt;Details&gt;&lt;_accession_num&gt;33526886&lt;/_accession_num&gt;&lt;_collection_scope&gt;SCIE&lt;/_collection_scope&gt;&lt;_created&gt;66494544&lt;/_created&gt;&lt;_date&gt;2021-02-01&lt;/_date&gt;&lt;_date_display&gt;2021/02/&lt;/_date_display&gt;&lt;_db_updated&gt;PubMed&lt;/_db_updated&gt;&lt;_doi&gt;10.1038/s41592-020-01056-5&lt;/_doi&gt;&lt;_impact_factor&gt;  36.100&lt;/_impact_factor&gt;&lt;_isbn&gt;1548-7105&lt;/_isbn&gt;&lt;_issue&gt;2&lt;/_issue&gt;&lt;_journal&gt;Nature methods&lt;/_journal&gt;&lt;_keywords&gt;Algorithms; *Genome; *Haplotypes; Sequence Analysis, DNA/*methods&lt;/_keywords&gt;&lt;_modified&gt;66494544&lt;/_modified&gt;&lt;_pages&gt;170-175&lt;/_pages&gt;&lt;_place_published&gt;United States&lt;/_place_published&gt;&lt;_social_category&gt;生化研究方法(1)&lt;/_social_category&gt;&lt;_url&gt;https://pubmed.ncbi.nlm.nih.gov/33526886_x000d__x000a_https://www.ncbi.nlm.nih.gov/pmc/articles/PMC7961889/&lt;/_url&gt;&lt;_volume&gt;18&lt;/_volume&gt;&lt;/Details&gt;&lt;Extra&gt;&lt;DBUID&gt;{03752FAB-B361-4F66-989B-C711D9502F78}&lt;/DBUID&gt;&lt;/Extra&gt;&lt;/Item&gt;&lt;/References&gt;&lt;/Group&gt;&lt;/Citation&gt;_x000a_"/>
    <w:docVar w:name="NE.Ref{945E3CEC-2E54-4B8D-B4CC-936F34EE88CB}" w:val=" ADDIN NE.Ref.{945E3CEC-2E54-4B8D-B4CC-936F34EE88CB}&lt;Citation&gt;&lt;Group&gt;&lt;References&gt;&lt;Item&gt;&lt;ID&gt;660&lt;/ID&gt;&lt;UID&gt;{A869CA87-EDA6-40EC-9717-3E02291E6A0C}&lt;/UID&gt;&lt;Title&gt;HiC-Pro: an optimized and flexible pipeline for Hi-C data processing&lt;/Title&gt;&lt;Template&gt;Journal Article&lt;/Template&gt;&lt;Star&gt;0&lt;/Star&gt;&lt;Tag&gt;0&lt;/Tag&gt;&lt;Author&gt;Servant, Nicolas; Varoquaux, Nelle; Lajoie, Bryan R; Viara, Eric; Chen, Chong-Jian; Vert, Jean-Philippe; Heard, Edith; Dekker, Job; Barillot, Emmanuel&lt;/Author&gt;&lt;Year&gt;2015&lt;/Year&gt;&lt;Details&gt;&lt;_accession_num&gt;26619908&lt;/_accession_num&gt;&lt;_collection_scope&gt;SCIE&lt;/_collection_scope&gt;&lt;_created&gt;66494549&lt;/_created&gt;&lt;_date&gt;2015-12-01&lt;/_date&gt;&lt;_date_display&gt;2015/12/01&lt;/_date_display&gt;&lt;_db_updated&gt;PubMed&lt;/_db_updated&gt;&lt;_doi&gt;10.1186/s13059-015-0831-x&lt;/_doi&gt;&lt;_impact_factor&gt;  10.100&lt;/_impact_factor&gt;&lt;_isbn&gt;1474-760X&lt;/_isbn&gt;&lt;_journal&gt;Genome biology&lt;/_journal&gt;&lt;_keywords&gt;Algorithms; Alleles; Cell Line; Chromosomes/*chemistry; Genomics/*methods; Humans; *Software&lt;/_keywords&gt;&lt;_modified&gt;66494549&lt;/_modified&gt;&lt;_pages&gt;259&lt;/_pages&gt;&lt;_place_published&gt;England&lt;/_place_published&gt;&lt;_social_category&gt;生物工程与应用微生物(1) &amp;amp; 遗传学(1)&lt;/_social_category&gt;&lt;_url&gt;https://pubmed.ncbi.nlm.nih.gov/26619908_x000d__x000a_https://www.ncbi.nlm.nih.gov/pmc/articles/PMC4665391/&lt;/_url&gt;&lt;_volume&gt;16&lt;/_volume&gt;&lt;/Details&gt;&lt;Extra&gt;&lt;DBUID&gt;{03752FAB-B361-4F66-989B-C711D9502F78}&lt;/DBUID&gt;&lt;/Extra&gt;&lt;/Item&gt;&lt;/References&gt;&lt;/Group&gt;&lt;/Citation&gt;_x000a_"/>
    <w:docVar w:name="NE.Ref{97703BFA-5CD5-44F4-B2EA-B68D0E1B708D}" w:val=" ADDIN NE.Ref.{97703BFA-5CD5-44F4-B2EA-B68D0E1B708D}&lt;Citation&gt;&lt;Group&gt;&lt;References&gt;&lt;Item&gt;&lt;ID&gt;661&lt;/ID&gt;&lt;UID&gt;{61AA69EB-844E-44DC-BBC9-337D76F0CA53}&lt;/UID&gt;&lt;Title&gt;Merqury: reference-free quality, completeness, and phasing assessment for genome assemblies&lt;/Title&gt;&lt;Template&gt;Journal Article&lt;/Template&gt;&lt;Star&gt;0&lt;/Star&gt;&lt;Tag&gt;0&lt;/Tag&gt;&lt;Author&gt;Rhie, Arang; Walenz, Brian P; Koren, Sergey; Phillippy, Adam M&lt;/Author&gt;&lt;Year&gt;2020&lt;/Year&gt;&lt;Details&gt;&lt;_accession_num&gt;32928274&lt;/_accession_num&gt;&lt;_collection_scope&gt;SCIE&lt;/_collection_scope&gt;&lt;_created&gt;66494550&lt;/_created&gt;&lt;_date&gt;2020-09-14&lt;/_date&gt;&lt;_date_display&gt;2020/09/14&lt;/_date_display&gt;&lt;_db_updated&gt;PubMed&lt;/_db_updated&gt;&lt;_doi&gt;10.1186/s13059-020-02134-9&lt;/_doi&gt;&lt;_impact_factor&gt;  10.100&lt;/_impact_factor&gt;&lt;_isbn&gt;1474-760X&lt;/_isbn&gt;&lt;_issue&gt;1&lt;/_issue&gt;&lt;_journal&gt;Genome biology&lt;/_journal&gt;&lt;_keywords&gt;Assembly validation; Benchmarking; Genome assembly; Haplotype phasing; K-mers; Trio binning; Arabidopsis; Genome, Human; Genome, Plant; Genomics/*methods; Humans; *Software&lt;/_keywords&gt;&lt;_modified&gt;66494550&lt;/_modified&gt;&lt;_pages&gt;245&lt;/_pages&gt;&lt;_place_published&gt;England&lt;/_place_published&gt;&lt;_social_category&gt;生物工程与应用微生物(1) &amp;amp; 遗传学(1)&lt;/_social_category&gt;&lt;_url&gt;https://pubmed.ncbi.nlm.nih.gov/32928274_x000d__x000a_https://www.ncbi.nlm.nih.gov/pmc/articles/PMC7488777/&lt;/_url&gt;&lt;_volume&gt;21&lt;/_volume&gt;&lt;/Details&gt;&lt;Extra&gt;&lt;DBUID&gt;{03752FAB-B361-4F66-989B-C711D9502F78}&lt;/DBUID&gt;&lt;/Extra&gt;&lt;/Item&gt;&lt;/References&gt;&lt;/Group&gt;&lt;Group&gt;&lt;References&gt;&lt;Item&gt;&lt;ID&gt;662&lt;/ID&gt;&lt;UID&gt;{C5FAC202-A745-49AF-99A5-7337D6E8576F}&lt;/UID&gt;&lt;Title&gt;BUSCO: assessing genome assembly and annotation completeness with single-copy orthologs&lt;/Title&gt;&lt;Template&gt;Journal Article&lt;/Template&gt;&lt;Star&gt;0&lt;/Star&gt;&lt;Tag&gt;0&lt;/Tag&gt;&lt;Author&gt;Simão, Felipe A; Waterhouse, Robert M; Ioannidis, Panagiotis; Kriventseva, Evgenia V; Zdobnov, Evgeny M&lt;/Author&gt;&lt;Year&gt;2015&lt;/Year&gt;&lt;Details&gt;&lt;_accessed&gt;66498813&lt;/_accessed&gt;&lt;_accession_num&gt;26059717&lt;/_accession_num&gt;&lt;_collection_scope&gt;SCIE&lt;/_collection_scope&gt;&lt;_created&gt;66494551&lt;/_created&gt;&lt;_date&gt;60877440&lt;/_date&gt;&lt;_date_display&gt;2015/10/01&lt;/_date_display&gt;&lt;_db_updated&gt;CrossRef&lt;/_db_updated&gt;&lt;_doi&gt;10.1093/bioinformatics/btv351&lt;/_doi&gt;&lt;_impact_factor&gt;   4.400&lt;/_impact_factor&gt;&lt;_isbn&gt;1367-4803&lt;/_isbn&gt;&lt;_issue&gt;19&lt;/_issue&gt;&lt;_journal&gt;Bioinformatics&lt;/_journal&gt;&lt;_keywords&gt;Animals; Computational Biology/*methods; Gene Dosage/*genetics; *Genome; Genomics/*methods; Humans; Molecular Sequence Annotation/*methods; *Software&lt;/_keywords&gt;&lt;_modified&gt;66498813&lt;/_modified&gt;&lt;_pages&gt;3210-3212&lt;/_pages&gt;&lt;_place_published&gt;England&lt;/_place_published&gt;&lt;_social_category&gt;生化研究方法(2) &amp;amp; 生物工程与应用微生物(3) &amp;amp; 数学与计算生物学(2)&lt;/_social_category&gt;&lt;_url&gt;https://academic.oup.com/bioinformatics/article/31/19/3210/211866_x000d__x000a_https://academic.oup.com/bioinformatics/article-pdf/31/19/3210/49035194/bioinformatics_31_19_3210.pdf&lt;/_url&gt;&lt;_volume&gt;31&lt;/_volume&gt;&lt;/Details&gt;&lt;Extra&gt;&lt;DBUID&gt;{03752FAB-B361-4F66-989B-C711D9502F78}&lt;/DBUID&gt;&lt;/Extra&gt;&lt;/Item&gt;&lt;/References&gt;&lt;/Group&gt;&lt;/Citation&gt;_x000a_"/>
    <w:docVar w:name="NE.Ref{A16FDF8D-BA5C-423C-826A-5CA9698B3BFF}" w:val=" ADDIN NE.Ref.{A16FDF8D-BA5C-423C-826A-5CA9698B3BFF}&lt;Citation&gt;&lt;Group&gt;&lt;References&gt;&lt;Item&gt;&lt;ID&gt;621&lt;/ID&gt;&lt;UID&gt;{F6833BB8-31D4-4AD2-AEC6-E10B6251020D}&lt;/UID&gt;&lt;Title&gt;De Novo transcriptome assembly and annotation of the wild service tree Sorbus torminalis (L.) Crantz&lt;/Title&gt;&lt;Template&gt;Journal Article&lt;/Template&gt;&lt;Star&gt;0&lt;/Star&gt;&lt;Tag&gt;0&lt;/Tag&gt;&lt;Author&gt;Pinosio, Sara; Avanzi, Camilla; Bagnoli, Francesca; Spanu, Ilaria; Vendramin, Giovanni Giuseppe; Piotti, Andrea&lt;/Author&gt;&lt;Year&gt;2025&lt;/Year&gt;&lt;Details&gt;&lt;_accession_num&gt;40176120&lt;/_accession_num&gt;&lt;_date_display&gt;2025/04/02&lt;/_date_display&gt;&lt;_date&gt;2025-04-02&lt;/_date&gt;&lt;_doi&gt;10.1186/s13104-025-07163-w&lt;/_doi&gt;&lt;_isbn&gt;1756-0500&lt;/_isbn&gt;&lt;_issue&gt;1&lt;/_issue&gt;&lt;_journal&gt;BMC research notes&lt;/_journal&gt;&lt;_keywords&gt;Sorbus torminalis; Torminalis glaberrima; De Novo assembly; Forest tree; RNA-seq; Transcriptome; *Transcriptome/genetics; *Sorbus/genetics; Molecular Sequence Annotation; Plant Leaves/genetics; Trees/genetics; Gene Expression Profiling; Polymorphism, Single Nucleotide&lt;/_keywords&gt;&lt;_pages&gt;139&lt;/_pages&gt;&lt;_place_published&gt;England&lt;/_place_published&gt;&lt;_url&gt;https://pubmed.ncbi.nlm.nih.gov/40176120_x000d__x000a_https://www.ncbi.nlm.nih.gov/pmc/articles/PMC11966905/&lt;/_url&gt;&lt;_volume&gt;18&lt;/_volume&gt;&lt;_created&gt;66262175&lt;/_created&gt;&lt;_modified&gt;66262176&lt;/_modified&gt;&lt;_db_updated&gt;PubMed&lt;/_db_updated&gt;&lt;_impact_factor&gt;   1.600&lt;/_impact_factor&gt;&lt;_collection_scope&gt;ESCI&lt;/_collection_scope&gt;&lt;/Details&gt;&lt;Extra&gt;&lt;DBUID&gt;{03752FAB-B361-4F66-989B-C711D9502F78}&lt;/DBUID&gt;&lt;/Extra&gt;&lt;/Item&gt;&lt;/References&gt;&lt;/Group&gt;&lt;Group&gt;&lt;References&gt;&lt;Item&gt;&lt;ID&gt;622&lt;/ID&gt;&lt;UID&gt;{D7994D87-3291-492C-8BFE-9BE5A0761D93}&lt;/UID&gt;&lt;Title&gt;Transcriptomic Analysis of Grapevine (cv. Summer Black) Leaf, Using the Illumina Platform&lt;/Title&gt;&lt;Template&gt;Journal Article&lt;/Template&gt;&lt;Star&gt;0&lt;/Star&gt;&lt;Tag&gt;0&lt;/Tag&gt;&lt;Author&gt;Pervaiz, Tariq; Haifeng, Jia; Salman Haider, Muhammad; Cheng, Zhang; Cui, Mengjie; Wang, Mengqi; Cui, Liwen; Wang, Xicheng; Fang, Jinggui&lt;/Author&gt;&lt;Year&gt;2016&lt;/Year&gt;&lt;Details&gt;&lt;_accession_num&gt;26824474&lt;/_accession_num&gt;&lt;_date_display&gt;2016/01/29&lt;/_date_display&gt;&lt;_date&gt;2016-01-29&lt;/_date&gt;&lt;_doi&gt;10.1371/journal.pone.0147369&lt;/_doi&gt;&lt;_isbn&gt;1932-6203&lt;/_isbn&gt;&lt;_issue&gt;1&lt;/_issue&gt;&lt;_journal&gt;PloS one&lt;/_journal&gt;&lt;_keywords&gt;Flowers/genetics/growth &amp;amp; development; Fruit/genetics/growth &amp;amp; development; Gene Expression Profiling; Gene Expression Regulation, Developmental; *Gene Expression Regulation, Plant; Gene Ontology; *Genome, Plant; High-Throughput Nucleotide Sequencing; Metabolic Networks and Pathways/genetics; Molecular Sequence Annotation; Plant Leaves/*genetics/growth &amp;amp; development; RNA, Messenger/*genetics; *Transcriptome; Vitis/*genetics/growth &amp;amp; development&lt;/_keywords&gt;&lt;_pages&gt;e0147369&lt;/_pages&gt;&lt;_place_published&gt;United States&lt;/_place_published&gt;&lt;_url&gt;https://pubmed.ncbi.nlm.nih.gov/26824474_x000d__x000a_https://www.ncbi.nlm.nih.gov/pmc/articles/PMC4732810/&lt;/_url&gt;&lt;_volume&gt;11&lt;/_volume&gt;&lt;_created&gt;66262192&lt;/_created&gt;&lt;_modified&gt;66262193&lt;/_modified&gt;&lt;_db_updated&gt;PubMed&lt;/_db_updated&gt;&lt;_impact_factor&gt;   2.900&lt;/_impact_factor&gt;&lt;_social_category&gt;综合性期刊(3)&lt;/_social_category&gt;&lt;_collection_scope&gt;SCIE&lt;/_collection_scope&gt;&lt;/Details&gt;&lt;Extra&gt;&lt;DBUID&gt;{03752FAB-B361-4F66-989B-C711D9502F78}&lt;/DBUID&gt;&lt;/Extra&gt;&lt;/Item&gt;&lt;/References&gt;&lt;/Group&gt;&lt;Group&gt;&lt;References&gt;&lt;Item&gt;&lt;ID&gt;623&lt;/ID&gt;&lt;UID&gt;{784715CB-6413-4720-ACA4-63EB3F22F2F3}&lt;/UID&gt;&lt;Title&gt;Global transcriptome sequencing using the Illumina platform and the development of EST-SSR markers in autotetraploid alfalfa&lt;/Title&gt;&lt;Template&gt;Journal Article&lt;/Template&gt;&lt;Star&gt;0&lt;/Star&gt;&lt;Tag&gt;0&lt;/Tag&gt;&lt;Author&gt;Liu, Zhipeng; Chen, Tianlong; Ma, Lichao; Zhao, Zhiguang; Zhao, Patrick X; Nan, Zhibiao; Wang, Yanrong&lt;/Author&gt;&lt;Year&gt;2013&lt;/Year&gt;&lt;Details&gt;&lt;_accession_num&gt;24349529&lt;/_accession_num&gt;&lt;_date_display&gt;2013/12/12&lt;/_date_display&gt;&lt;_date&gt;2013-12-12&lt;/_date&gt;&lt;_doi&gt;10.1371/journal.pone.0083549&lt;/_doi&gt;&lt;_isbn&gt;1932-6203&lt;/_isbn&gt;&lt;_issue&gt;12&lt;/_issue&gt;&lt;_journal&gt;PloS one&lt;/_journal&gt;&lt;_keywords&gt;*Databases, Nucleic Acid; *Expressed Sequence Tags; Genome, Plant/*physiology; Medicago sativa/*genetics/metabolism; *Polyploidy; Transcriptome/*physiology&lt;/_keywords&gt;&lt;_pages&gt;e83549&lt;/_pages&gt;&lt;_place_published&gt;United States&lt;/_place_published&gt;&lt;_url&gt;https://pubmed.ncbi.nlm.nih.gov/24349529_x000d__x000a_https://www.ncbi.nlm.nih.gov/pmc/articles/PMC3861513/&lt;/_url&gt;&lt;_volume&gt;8&lt;/_volume&gt;&lt;_created&gt;66262192&lt;/_created&gt;&lt;_modified&gt;66262194&lt;/_modified&gt;&lt;_db_updated&gt;PubMed&lt;/_db_updated&gt;&lt;_impact_factor&gt;   2.900&lt;/_impact_factor&gt;&lt;_social_category&gt;综合性期刊(3)&lt;/_social_category&gt;&lt;_collection_scope&gt;SCIE&lt;/_collection_scope&gt;&lt;/Details&gt;&lt;Extra&gt;&lt;DBUID&gt;{03752FAB-B361-4F66-989B-C711D9502F78}&lt;/DBUID&gt;&lt;/Extra&gt;&lt;/Item&gt;&lt;/References&gt;&lt;/Group&gt;&lt;Group&gt;&lt;References&gt;&lt;Item&gt;&lt;ID&gt;625&lt;/ID&gt;&lt;UID&gt;{312A3659-4E11-414D-AB31-6336930620C7}&lt;/UID&gt;&lt;Title&gt;Whole Genome Re-sequencing Reveals Natural Variation and Adaptive Evolution of Phytophthora sojae&lt;/Title&gt;&lt;Template&gt;Journal Article&lt;/Template&gt;&lt;Star&gt;0&lt;/Star&gt;&lt;Tag&gt;0&lt;/Tag&gt;&lt;Author&gt;Zhang, Xiong; Liu, Bo; Zou, Fen; Shen, Danyu; Yin, Zhiyuan; Wang, Rongbo; He, Feng; Wang, Yuanchao; Tyler, Brett M; Fan, Wei; Qian, Wanqiang; Dou, Daolong&lt;/Author&gt;&lt;Year&gt;2019&lt;/Year&gt;&lt;Details&gt;&lt;_doi&gt;10.3389/fmicb.2019.02792&lt;/_doi&gt;&lt;_created&gt;66262198&lt;/_created&gt;&lt;_modified&gt;66262198&lt;/_modified&gt;&lt;_url&gt;https://www.frontiersin.org/article/10.3389/fmicb.2019.02792/full_x000d__x000a_https://www.frontiersin.org/article/10.3389/fmicb.2019.02792/full&lt;/_url&gt;&lt;_journal&gt;Frontiers in Microbiology&lt;/_journal&gt;&lt;_volume&gt;10&lt;/_volume&gt;&lt;_pages&gt;2792&lt;/_pages&gt;&lt;_tertiary_title&gt;Front. Microbiol.&lt;/_tertiary_title&gt;&lt;_date&gt;63066240&lt;/_date&gt;&lt;_isbn&gt;1664-302X&lt;/_isbn&gt;&lt;_accessed&gt;66262198&lt;/_accessed&gt;&lt;_db_updated&gt;CrossRef&lt;/_db_updated&gt;&lt;_impact_factor&gt;   4.000&lt;/_impact_factor&gt;&lt;_social_category&gt;微生物学(3)&lt;/_social_category&gt;&lt;_collection_scope&gt;SCIE&lt;/_collection_scope&gt;&lt;/Details&gt;&lt;Extra&gt;&lt;DBUID&gt;{03752FAB-B361-4F66-989B-C711D9502F78}&lt;/DBUID&gt;&lt;/Extra&gt;&lt;/Item&gt;&lt;/References&gt;&lt;/Group&gt;&lt;/Citation&gt;_x000a_"/>
    <w:docVar w:name="NE.Ref{A607D4ED-1555-42E0-BB37-E08655669BE1}" w:val=" ADDIN NE.Ref.{A607D4ED-1555-42E0-BB37-E08655669BE1}&lt;Citation&gt;&lt;Group&gt;&lt;References&gt;&lt;Item&gt;&lt;ID&gt;584&lt;/ID&gt;&lt;UID&gt;{710A7CD9-E0B2-4501-B333-8A8CB0C90E0B}&lt;/UID&gt;&lt;Title&gt;Hi-C: a comprehensive technique to capture the conformation of genomes&lt;/Title&gt;&lt;Template&gt;Journal Article&lt;/Template&gt;&lt;Star&gt;0&lt;/Star&gt;&lt;Tag&gt;0&lt;/Tag&gt;&lt;Author&gt;Belton, Jon-Matthew; McCord, Rachel Patton; Gibcus, Johan Harmen; Naumova, Natalia; Zhan, Ye; Dekker, Job&lt;/Author&gt;&lt;Year&gt;2012&lt;/Year&gt;&lt;Details&gt;&lt;_date_display&gt;2012/11/&lt;/_date_display&gt;&lt;_date&gt;2012-11-01&lt;/_date&gt;&lt;_doi&gt;10.1016/j.ymeth.2012.05.001&lt;/_doi&gt;&lt;_isbn&gt;1095-9130&lt;/_isbn&gt;&lt;_issue&gt;3&lt;/_issue&gt;&lt;_journal&gt;Methods (San Diego, Calif.)&lt;/_journal&gt;&lt;_keywords&gt;Animals; Cells, Cultured; Chromatin/*genetics; Chromosome Mapping/*methods; Cross-Linking Reagents; DNA/chemistry/genetics/isolation &amp;amp; purification; DNA Fragmentation; Epistasis, Genetic; Fixatives/chemistry; Formaldehyde/chemistry; Gene Library; Genome, Human; Humans; Nucleic Acid Conformation; Sequence Analysis, DNA; Tissue Fixation&lt;/_keywords&gt;&lt;_pages&gt;268-276&lt;/_pages&gt;&lt;_place_published&gt;United States&lt;/_place_published&gt;&lt;_url&gt;https://pubmed.ncbi.nlm.nih.gov/22652625_x000d__x000a_https://www.ncbi.nlm.nih.gov/pmc/articles/PMC3874846/&lt;/_url&gt;&lt;_volume&gt;58&lt;/_volume&gt;&lt;_created&gt;66236687&lt;/_created&gt;&lt;_modified&gt;66236688&lt;/_modified&gt;&lt;_db_updated&gt;PubMed&lt;/_db_updated&gt;&lt;/Details&gt;&lt;Extra&gt;&lt;DBUID&gt;{03752FAB-B361-4F66-989B-C711D9502F78}&lt;/DBUID&gt;&lt;/Extra&gt;&lt;/Item&gt;&lt;/References&gt;&lt;/Group&gt;&lt;/Citation&gt;_x000a_"/>
    <w:docVar w:name="NE.Ref{B6BBC1DE-709A-470E-BB9D-3472345BADDD}" w:val=" ADDIN NE.Ref.{B6BBC1DE-709A-470E-BB9D-3472345BADDD}&lt;Citation&gt;&lt;Group&gt;&lt;References&gt;&lt;Item&gt;&lt;ID&gt;656&lt;/ID&gt;&lt;UID&gt;{EFC9181A-F516-4371-B05F-D3C110A6675C}&lt;/UID&gt;&lt;Title&gt;Drivers of diversification in fungal pathogen populations&lt;/Title&gt;&lt;Template&gt;Journal Article&lt;/Template&gt;&lt;Star&gt;0&lt;/Star&gt;&lt;Tag&gt;0&lt;/Tag&gt;&lt;Author&gt;Murante, Daniel; Hogan, Deborah Ann&lt;/Author&gt;&lt;Year&gt;2024&lt;/Year&gt;&lt;Details&gt;&lt;_accession_num&gt;39264909&lt;/_accession_num&gt;&lt;_date_display&gt;2024/09/12&lt;/_date_display&gt;&lt;_date&gt;2024-09-12&lt;/_date&gt;&lt;_doi&gt;10.1371/journal.ppat.1012430&lt;/_doi&gt;&lt;_isbn&gt;1553-7374&lt;/_isbn&gt;&lt;_issue&gt;9&lt;/_issue&gt;&lt;_journal&gt;PLoS pathogens&lt;/_journal&gt;&lt;_keywords&gt;Humans; *Fungi/genetics/pathogenicity; *Mycoses/microbiology/immunology; Genetic Variation; Animals&lt;/_keywords&gt;&lt;_pages&gt;e1012430&lt;/_pages&gt;&lt;_place_published&gt;United States&lt;/_place_published&gt;&lt;_url&gt;https://pubmed.ncbi.nlm.nih.gov/39264909_x000d__x000a_https://www.ncbi.nlm.nih.gov/pmc/articles/PMC11392411/&lt;/_url&gt;&lt;_volume&gt;20&lt;/_volume&gt;&lt;_created&gt;66400886&lt;/_created&gt;&lt;_modified&gt;66400886&lt;/_modified&gt;&lt;_db_updated&gt;PubMed&lt;/_db_updated&gt;&lt;_impact_factor&gt;   5.500&lt;/_impact_factor&gt;&lt;_social_category&gt;微生物学(1) &amp;amp; 寄生虫学(1) &amp;amp; 病毒学(1)&lt;/_social_category&gt;&lt;_collection_scope&gt;SCIE&lt;/_collection_scope&gt;&lt;/Details&gt;&lt;Extra&gt;&lt;DBUID&gt;{03752FAB-B361-4F66-989B-C711D9502F78}&lt;/DBUID&gt;&lt;/Extra&gt;&lt;/Item&gt;&lt;/References&gt;&lt;/Group&gt;&lt;/Citation&gt;_x000a_"/>
    <w:docVar w:name="NE.Ref{BE8A6C99-8232-4A24-8DC2-39CF2ECFDAB5}" w:val=" ADDIN NE.Ref.{BE8A6C99-8232-4A24-8DC2-39CF2ECFDAB5}&lt;Citation&gt;&lt;Group&gt;&lt;References&gt;&lt;Item&gt;&lt;ID&gt;611&lt;/ID&gt;&lt;UID&gt;{E40938DA-EF0F-4A99-8580-2DCBD3F8F569}&lt;/UID&gt;&lt;Title&gt;SNP detection for massively parallel whole-genome resequencing&lt;/Title&gt;&lt;Template&gt;Journal Article&lt;/Template&gt;&lt;Star&gt;0&lt;/Star&gt;&lt;Tag&gt;0&lt;/Tag&gt;&lt;Author&gt;Li, Ruiqiang; Li, Yingrui; Fang, Xiaodong; Yang, Huanming; Wang, Jian; Kristiansen, Karsten; Wang, Jun&lt;/Author&gt;&lt;Year&gt;2009&lt;/Year&gt;&lt;Details&gt;&lt;_collection_scope&gt;SCIE&lt;/_collection_scope&gt;&lt;_created&gt;66246683&lt;/_created&gt;&lt;_date&gt;2009-06-01&lt;/_date&gt;&lt;_date_display&gt;2009/06/&lt;/_date_display&gt;&lt;_db_updated&gt;PubMed&lt;/_db_updated&gt;&lt;_doi&gt;10.1101/gr.088013.108&lt;/_doi&gt;&lt;_impact_factor&gt;   6.200&lt;/_impact_factor&gt;&lt;_isbn&gt;1088-9051&lt;/_isbn&gt;&lt;_issue&gt;6&lt;/_issue&gt;&lt;_journal&gt;Genome research&lt;/_journal&gt;&lt;_keywords&gt;Algorithms; Asian People/genetics; Chromosomes, Human, X/genetics; Computational Biology/methods; Genetics, Population/methods; Genome, Human/*genetics; Genotype; Humans; Likelihood Functions; Models, Genetic; Models, Statistical; *Polymorphism, Single Nucleotide; Probability; Reproducibility of Results; Sequence Analysis, DNA/instrumentation/*methods; *Software&lt;/_keywords&gt;&lt;_modified&gt;66246683&lt;/_modified&gt;&lt;_pages&gt;1124-1132&lt;/_pages&gt;&lt;_place_published&gt;United States&lt;/_place_published&gt;&lt;_social_category&gt;生化与分子生物学(2) &amp;amp; 生物工程与应用微生物(1) &amp;amp; 遗传学(2)&lt;/_social_category&gt;&lt;_url&gt;https://pubmed.ncbi.nlm.nih.gov/19420381_x000d__x000a_https://www.ncbi.nlm.nih.gov/pmc/articles/PMC2694485/&lt;/_url&gt;&lt;_volume&gt;19&lt;/_volume&gt;&lt;/Details&gt;&lt;Extra&gt;&lt;DBUID&gt;{03752FAB-B361-4F66-989B-C711D9502F78}&lt;/DBUID&gt;&lt;/Extra&gt;&lt;/Item&gt;&lt;/References&gt;&lt;/Group&gt;&lt;/Citation&gt;_x000a_"/>
    <w:docVar w:name="NE.Ref{BF346941-4E32-4B00-979D-CC2CFE055BDD}" w:val=" ADDIN NE.Ref.{BF346941-4E32-4B00-979D-CC2CFE055BDD}&lt;Citation&gt;&lt;Group&gt;&lt;References&gt;&lt;Item&gt;&lt;ID&gt;653&lt;/ID&gt;&lt;UID&gt;{63276666-1846-4994-88F5-58912FBE78EE}&lt;/UID&gt;&lt;Title&gt;Extensive haplotypes are associated with population differentiation and environmental adaptability in Upland cotton (Gossypium hirsutum)&lt;/Title&gt;&lt;Template&gt;Journal Article&lt;/Template&gt;&lt;Star&gt;0&lt;/Star&gt;&lt;Tag&gt;0&lt;/Tag&gt;&lt;Author&gt;Dai, Panhong; Sun, Gaofei; Jia, Yinhua; Pan, Zhaoe; Tian, Yingbing; Peng, Zhen; Li, Hongge; He, Shoupu; Du, Xiongming&lt;/Author&gt;&lt;Year&gt;2020&lt;/Year&gt;&lt;Details&gt;&lt;_accession_num&gt;32844253&lt;/_accession_num&gt;&lt;_created&gt;66400867&lt;/_created&gt;&lt;_date&gt;2020-12-01&lt;/_date&gt;&lt;_date_display&gt;2020/12/&lt;/_date_display&gt;&lt;_db_updated&gt;PubMed&lt;/_db_updated&gt;&lt;_doi&gt;10.1007/s00122-020-03668-z&lt;/_doi&gt;&lt;_isbn&gt;1432-2242&lt;/_isbn&gt;&lt;_issue&gt;12&lt;/_issue&gt;&lt;_journal&gt;TAG. Theoretical and applied genetics. Theoretische und angewandte Genetik&lt;/_journal&gt;&lt;_keywords&gt;Chromosome inversion; Environmental adaptability; Genome-wide association study (GWAS); Population divergence; Upland cotton; *Adaptation, Physiological; Chromosome Mapping; Environment; *Genetic Variation; *Genetics, Population; *Genome, Plant; Genome-Wide Association Study; Genotype; Gossypium/classification/*genetics/growth &amp;amp; development; *Haplotypes; Phenotype; *Quantitative Trait Loci&lt;/_keywords&gt;&lt;_modified&gt;66400867&lt;/_modified&gt;&lt;_pages&gt;3273-3285&lt;/_pages&gt;&lt;_place_published&gt;Germany&lt;/_place_published&gt;&lt;_url&gt;https://pubmed.ncbi.nlm.nih.gov/32844253&lt;/_url&gt;&lt;_volume&gt;133&lt;/_volume&gt;&lt;/Details&gt;&lt;Extra&gt;&lt;DBUID&gt;{03752FAB-B361-4F66-989B-C711D9502F78}&lt;/DBUID&gt;&lt;/Extra&gt;&lt;/Item&gt;&lt;/References&gt;&lt;/Group&gt;&lt;Group&gt;&lt;References&gt;&lt;Item&gt;&lt;ID&gt;654&lt;/ID&gt;&lt;UID&gt;{E9A6369B-74E3-42EA-9B48-81D7B414CC94}&lt;/UID&gt;&lt;Title&gt;Role of genetic architecture in phenotypic plasticity&lt;/Title&gt;&lt;Template&gt;Journal Article&lt;/Template&gt;&lt;Star&gt;0&lt;/Star&gt;&lt;Tag&gt;0&lt;/Tag&gt;&lt;Author&gt;Kovuri, Purnima; Yadav, Anupama; Sinha, Himanshu&lt;/Author&gt;&lt;Year&gt;2023&lt;/Year&gt;&lt;Details&gt;&lt;_accession_num&gt;37173192&lt;/_accession_num&gt;&lt;_created&gt;66400872&lt;/_created&gt;&lt;_date&gt;2023-09-01&lt;/_date&gt;&lt;_date_display&gt;2023/09/&lt;/_date_display&gt;&lt;_db_updated&gt;PubMed&lt;/_db_updated&gt;&lt;_doi&gt;10.1016/j.tig.2023.04.002&lt;/_doi&gt;&lt;_impact_factor&gt;  13.600&lt;/_impact_factor&gt;&lt;_isbn&gt;0168-9525&lt;/_isbn&gt;&lt;_issue&gt;9&lt;/_issue&gt;&lt;_journal&gt;Trends in genetics : TIG&lt;/_journal&gt;&lt;_keywords&gt;additive loci; dominance; epistasis; genetic networks; gene–environment interaction; Humans; *Quantitative Trait Loci; Phenotype; *Saccharomyces cerevisiae/genetics; Adaptation, Physiological; Genetic Variation/genetics&lt;/_keywords&gt;&lt;_modified&gt;66400872&lt;/_modified&gt;&lt;_pages&gt;703-714&lt;/_pages&gt;&lt;_place_published&gt;England&lt;/_place_published&gt;&lt;_social_category&gt;遗传学(2)&lt;/_social_category&gt;&lt;_url&gt;https://pubmed.ncbi.nlm.nih.gov/37173192&lt;/_url&gt;&lt;_volume&gt;39&lt;/_volume&gt;&lt;/Details&gt;&lt;Extra&gt;&lt;DBUID&gt;{03752FAB-B361-4F66-989B-C711D9502F78}&lt;/DBUID&gt;&lt;/Extra&gt;&lt;/Item&gt;&lt;/References&gt;&lt;/Group&gt;&lt;Group&gt;&lt;References&gt;&lt;Item&gt;&lt;ID&gt;655&lt;/ID&gt;&lt;UID&gt;{87132494-EB6A-4361-B6A3-98363893CD4D}&lt;/UID&gt;&lt;Title&gt;Species evolution: cryptic species and phenotypic noise with a particular focus on fungal systematics&lt;/Title&gt;&lt;Template&gt;Journal Article&lt;/Template&gt;&lt;Star&gt;0&lt;/Star&gt;&lt;Tag&gt;0&lt;/Tag&gt;&lt;Author&gt;Ekanayaka, Anusha H; Karunarathna, Samantha C; Tibpromma, Saowaluck; Dutta, Arun Kumar; Tennakoon, Danushka Sandaruwan; Karunarathna, Anuruddha; Chukeatirote, Ekachai; Dai, Dong-Qin; Stephenson, Steven L; Maharachchikumbura, Sajeewa S N; Liu, Chao; Phillips, Alan J L&lt;/Author&gt;&lt;Year&gt;2025&lt;/Year&gt;&lt;Details&gt;&lt;_accession_num&gt;39967791&lt;/_accession_num&gt;&lt;_collection_scope&gt;SCIE&lt;/_collection_scope&gt;&lt;_created&gt;66400875&lt;/_created&gt;&lt;_date&gt;2025-02-04&lt;/_date&gt;&lt;_date_display&gt;2025/02/04&lt;/_date_display&gt;&lt;_db_updated&gt;PubMed&lt;/_db_updated&gt;&lt;_doi&gt;10.3389/fcimb.2025.1497085&lt;/_doi&gt;&lt;_impact_factor&gt;   4.600&lt;/_impact_factor&gt;&lt;_isbn&gt;2235-2988&lt;/_isbn&gt;&lt;_journal&gt;Frontiers in cellular and infection microbiology&lt;/_journal&gt;&lt;_keywords&gt;biodiversity; ecology; evolution; phylogeny; taxonomy; *Fungi/classification/genetics; *Phenotype; Biodiversity; *Biological Evolution; Genetic Variation; Phylogeny; Evolution, Molecular&lt;/_keywords&gt;&lt;_modified&gt;66400875&lt;/_modified&gt;&lt;_pages&gt;1497085&lt;/_pages&gt;&lt;_place_published&gt;Switzerland&lt;/_place_published&gt;&lt;_social_category&gt;免疫学(3) &amp;amp; 微生物学(2)&lt;/_social_category&gt;&lt;_url&gt;https://pubmed.ncbi.nlm.nih.gov/39967791_x000d__x000a_https://www.ncbi.nlm.nih.gov/pmc/articles/PMC11832716/&lt;/_url&gt;&lt;_volume&gt;15&lt;/_volume&gt;&lt;/Details&gt;&lt;Extra&gt;&lt;DBUID&gt;{03752FAB-B361-4F66-989B-C711D9502F78}&lt;/DBUID&gt;&lt;/Extra&gt;&lt;/Item&gt;&lt;/References&gt;&lt;/Group&gt;&lt;/Citation&gt;_x000a_"/>
    <w:docVar w:name="NE.Ref{C3F37C60-4148-4AD0-9FBE-0E0B52904269}" w:val=" ADDIN NE.Ref.{C3F37C60-4148-4AD0-9FBE-0E0B52904269}&lt;Citation&gt;&lt;Group&gt;&lt;References&gt;&lt;Item&gt;&lt;ID&gt;619&lt;/ID&gt;&lt;UID&gt;{68D171DF-02F4-4D98-8CD7-2CA665AFB2E6}&lt;/UID&gt;&lt;Title&gt;First report ofPhomopsis asparagi causing stem blight of asparagus in Greece&lt;/Title&gt;&lt;Template&gt;Journal Article&lt;/Template&gt;&lt;Star&gt;0&lt;/Star&gt;&lt;Tag&gt;0&lt;/Tag&gt;&lt;Author&gt;Elena, K&lt;/Author&gt;&lt;Year&gt;2006&lt;/Year&gt;&lt;Details&gt;&lt;_accessed&gt;66260869&lt;/_accessed&gt;&lt;_collection_scope&gt;SCIE&lt;/_collection_scope&gt;&lt;_created&gt;66260869&lt;/_created&gt;&lt;_db_updated&gt;CrossRef&lt;/_db_updated&gt;&lt;_doi&gt;10.1111/j.1365-3059.2005.01265.x&lt;/_doi&gt;&lt;_impact_factor&gt;   2.300&lt;/_impact_factor&gt;&lt;_isbn&gt;0032-0862&lt;/_isbn&gt;&lt;_issue&gt;2&lt;/_issue&gt;&lt;_journal&gt;Plant Pathology&lt;/_journal&gt;&lt;_marked_fields&gt;title;I|16|19&lt;/_marked_fields&gt;&lt;_modified&gt;66260869&lt;/_modified&gt;&lt;_pages&gt;300-300&lt;/_pages&gt;&lt;_social_category&gt;农艺学(3) &amp;amp; 植物科学(3)&lt;/_social_category&gt;&lt;_tertiary_title&gt;Plant Pathology&lt;/_tertiary_title&gt;&lt;_url&gt;https://bsppjournals.onlinelibrary.wiley.com/doi/10.1111/j.1365-3059.2005.01265.x_x000d__x000a_https://bsppjournals.onlinelibrary.wiley.com/doi/pdf/10.1111/j.1365-3059.2005.01265.x&lt;/_url&gt;&lt;_volume&gt;55&lt;/_volume&gt;&lt;/Details&gt;&lt;Extra&gt;&lt;DBUID&gt;{03752FAB-B361-4F66-989B-C711D9502F78}&lt;/DBUID&gt;&lt;/Extra&gt;&lt;/Item&gt;&lt;/References&gt;&lt;/Group&gt;&lt;/Citation&gt;_x000a_"/>
    <w:docVar w:name="NE.Ref{D26CC5B9-D7A3-4720-BC6A-C7B0DA022695}" w:val=" ADDIN NE.Ref.{D26CC5B9-D7A3-4720-BC6A-C7B0DA022695}&lt;Citation&gt;&lt;Group&gt;&lt;References&gt;&lt;Item&gt;&lt;ID&gt;659&lt;/ID&gt;&lt;UID&gt;{89C7CB83-7436-466D-A78E-601BA88C4F26}&lt;/UID&gt;&lt;Title&gt;Pilon: an integrated tool for comprehensive microbial variant detection and genome assembly improvement&lt;/Title&gt;&lt;Template&gt;Journal Article&lt;/Template&gt;&lt;Star&gt;0&lt;/Star&gt;&lt;Tag&gt;0&lt;/Tag&gt;&lt;Author&gt;Walker, Bruce J; Abeel, Thomas; Shea, Terrance; Priest, Margaret; Abouelliel, Amr; Sakthikumar, Sharadha; Cuomo, Christina A; Zeng, Qiandong; Wortman, Jennifer; Young, Sarah K; Earl, Ashlee M&lt;/Author&gt;&lt;Year&gt;2014&lt;/Year&gt;&lt;Details&gt;&lt;_accession_num&gt;25409509&lt;/_accession_num&gt;&lt;_collection_scope&gt;SCIE&lt;/_collection_scope&gt;&lt;_created&gt;66494547&lt;/_created&gt;&lt;_date&gt;2014-11-19&lt;/_date&gt;&lt;_date_display&gt;2014/11/19&lt;/_date_display&gt;&lt;_db_updated&gt;PubMed&lt;/_db_updated&gt;&lt;_doi&gt;10.1371/journal.pone.0112963&lt;/_doi&gt;&lt;_impact_factor&gt;   2.900&lt;/_impact_factor&gt;&lt;_isbn&gt;1932-6203&lt;/_isbn&gt;&lt;_issue&gt;11&lt;/_issue&gt;&lt;_journal&gt;PloS one&lt;/_journal&gt;&lt;_keywords&gt;Algorithms; Bacteria/classification/*genetics; *Genetic Variation; Genome, Bacterial; Molecular Sequence Data; Sequence Analysis, DNA/*methods; *Software&lt;/_keywords&gt;&lt;_modified&gt;66494547&lt;/_modified&gt;&lt;_pages&gt;e112963&lt;/_pages&gt;&lt;_place_published&gt;United States&lt;/_place_published&gt;&lt;_social_category&gt;综合性期刊(3)&lt;/_social_category&gt;&lt;_url&gt;https://pubmed.ncbi.nlm.nih.gov/25409509_x000d__x000a_https://www.ncbi.nlm.nih.gov/pmc/articles/PMC4237348/&lt;/_url&gt;&lt;_volume&gt;9&lt;/_volume&gt;&lt;/Details&gt;&lt;Extra&gt;&lt;DBUID&gt;{03752FAB-B361-4F66-989B-C711D9502F78}&lt;/DBUID&gt;&lt;/Extra&gt;&lt;/Item&gt;&lt;/References&gt;&lt;/Group&gt;&lt;/Citation&gt;_x000a_"/>
    <w:docVar w:name="NE.Ref{D9381DD3-A71F-4335-9EA6-3F5AF6F39BBD}" w:val=" ADDIN NE.Ref.{D9381DD3-A71F-4335-9EA6-3F5AF6F39BBD}&lt;Citation&gt;&lt;Group&gt;&lt;References&gt;&lt;Item&gt;&lt;ID&gt;652&lt;/ID&gt;&lt;UID&gt;{7F64DB89-C21A-4C1C-BC6A-54D2EF7CE800}&lt;/UID&gt;&lt;Title&gt;Complete genome sequence of a novel botourmiavirus infecting the fungus Phomopsis asparagi&lt;/Title&gt;&lt;Template&gt;Journal Article&lt;/Template&gt;&lt;Star&gt;0&lt;/Star&gt;&lt;Tag&gt;0&lt;/Tag&gt;&lt;Author&gt;Zhou, Jingyi; Liu, Shuang; Xu, Yun; Yan, Junhan; Xie, Changping; Zheng, Li; Chen, Daipeng&lt;/Author&gt;&lt;Year&gt;2024&lt;/Year&gt;&lt;Details&gt;&lt;_accession_num&gt;38981885&lt;/_accession_num&gt;&lt;_collection_scope&gt;SCIE&lt;/_collection_scope&gt;&lt;_created&gt;66400862&lt;/_created&gt;&lt;_date&gt;2024-07-09&lt;/_date&gt;&lt;_date_display&gt;2024/07/09&lt;/_date_display&gt;&lt;_db_updated&gt;PubMed&lt;/_db_updated&gt;&lt;_doi&gt;10.1007/s00705-024-06084-6&lt;/_doi&gt;&lt;_impact_factor&gt;   2.500&lt;/_impact_factor&gt;&lt;_isbn&gt;1432-8798&lt;/_isbn&gt;&lt;_issue&gt;8&lt;/_issue&gt;&lt;_journal&gt;Archives of virology&lt;/_journal&gt;&lt;_keywords&gt;*Genome, Viral; *Phylogeny; *Fungal Viruses/genetics/classification/isolation &amp;amp; purification; *Open Reading Frames; *Phomopsis/virology; *RNA, Viral/genetics; Whole Genome Sequencing; RNA-Dependent RNA Polymerase/genetics; Base Composition; Plant Diseases/microbiology/virology; Viral Proteins/genetics; Base Sequence; RNA Viruses/genetics/isolation &amp;amp; purification/classification&lt;/_keywords&gt;&lt;_modified&gt;66400862&lt;/_modified&gt;&lt;_pages&gt;161&lt;/_pages&gt;&lt;_place_published&gt;Austria&lt;/_place_published&gt;&lt;_social_category&gt;病毒学(4)&lt;/_social_category&gt;&lt;_url&gt;https://pubmed.ncbi.nlm.nih.gov/38981885&lt;/_url&gt;&lt;_volume&gt;169&lt;/_volume&gt;&lt;/Details&gt;&lt;Extra&gt;&lt;DBUID&gt;{03752FAB-B361-4F66-989B-C711D9502F78}&lt;/DBUID&gt;&lt;/Extra&gt;&lt;/Item&gt;&lt;/References&gt;&lt;/Group&gt;&lt;Group&gt;&lt;References&gt;&lt;Item&gt;&lt;ID&gt;624&lt;/ID&gt;&lt;UID&gt;{ED0849AC-B762-4B2A-AD12-C6FE6B8262F0}&lt;/UID&gt;&lt;Title&gt;Whole genome sequencing of Phomopsis asparagi reveals molecular basis of asparagus stem blight pathogenesis&lt;/Title&gt;&lt;Template&gt;Journal Article&lt;/Template&gt;&lt;Star&gt;0&lt;/Star&gt;&lt;Tag&gt;0&lt;/Tag&gt;&lt;Author&gt;Duan, Lingtao; Li, Yunpeng; Lan, Bo; Yin, Changfa; Deng, Xing; Yang, Ziyu; Sun, Qinghua; Li, Baojia; Yang, Yingqing&lt;/Author&gt;&lt;Year&gt;2025&lt;/Year&gt;&lt;Details&gt;&lt;_accessed&gt;66262196&lt;/_accessed&gt;&lt;_collection_scope&gt;SCIE&lt;/_collection_scope&gt;&lt;_created&gt;66262196&lt;/_created&gt;&lt;_date&gt;65744640&lt;/_date&gt;&lt;_date_display&gt;2025&lt;/_date_display&gt;&lt;_db_updated&gt;PKU Search&lt;/_db_updated&gt;&lt;_doi&gt;10.3389/fmicb.2025.1670056&lt;/_doi&gt;&lt;_impact_factor&gt;   4.000&lt;/_impact_factor&gt;&lt;_isbn&gt;1664-302X&lt;/_isbn&gt;&lt;_journal&gt;Frontiers in microbiology&lt;/_journal&gt;&lt;_keywords&gt;asparagus stem blight; high temperature; pathogenic pathway; Phomopsis asparagi; reference genome&lt;/_keywords&gt;&lt;_modified&gt;66262196&lt;/_modified&gt;&lt;_number&gt;1&lt;/_number&gt;&lt;_ori_publication&gt;Frontiers Media S.A&lt;/_ori_publication&gt;&lt;_pages&gt;1670056&lt;/_pages&gt;&lt;_place_published&gt;Switzerland&lt;/_place_published&gt;&lt;_social_category&gt;微生物学(3)&lt;/_social_category&gt;&lt;_url&gt;https://go.exlibris.link/rKtwsHx1&lt;/_url&gt;&lt;_volume&gt;16&lt;/_volume&gt;&lt;/Details&gt;&lt;Extra&gt;&lt;DBUID&gt;{03752FAB-B361-4F66-989B-C711D9502F78}&lt;/DBUID&gt;&lt;/Extra&gt;&lt;/Item&gt;&lt;/References&gt;&lt;/Group&gt;&lt;/Citation&gt;_x000a_"/>
    <w:docVar w:name="NE.Ref{DC9D9F54-56C3-4D36-B962-1542EAF88F9E}" w:val=" ADDIN NE.Ref.{DC9D9F54-56C3-4D36-B962-1542EAF88F9E}&lt;Citation&gt;&lt;Group&gt;&lt;References&gt;&lt;Item&gt;&lt;ID&gt;612&lt;/ID&gt;&lt;UID&gt;{327DFACC-D026-4969-BD72-AEBA93D8DE8D}&lt;/UID&gt;&lt;Title&gt;RAxML version 8: a tool for phylogenetic analysis and post-analysis of large phylogenies&lt;/Title&gt;&lt;Template&gt;Journal Article&lt;/Template&gt;&lt;Star&gt;0&lt;/Star&gt;&lt;Tag&gt;0&lt;/Tag&gt;&lt;Author&gt;Stamatakis, Alexandros&lt;/Author&gt;&lt;Year&gt;2014&lt;/Year&gt;&lt;Details&gt;&lt;_created&gt;66246695&lt;/_created&gt;&lt;_date&gt;2014-05-01&lt;/_date&gt;&lt;_date_display&gt;2014/05/01&lt;/_date_display&gt;&lt;_db_updated&gt;PubMed&lt;/_db_updated&gt;&lt;_doi&gt;10.1093/bioinformatics/btu033&lt;/_doi&gt;&lt;_isbn&gt;1367-4811&lt;/_isbn&gt;&lt;_issue&gt;9&lt;/_issue&gt;&lt;_journal&gt;Bioinformatics (Oxford, England)&lt;/_journal&gt;&lt;_keywords&gt;High-Throughput Nucleotide Sequencing; Likelihood Functions; Models, Genetic; *Phylogeny; Software&lt;/_keywords&gt;&lt;_modified&gt;66246695&lt;/_modified&gt;&lt;_pages&gt;1312-1313&lt;/_pages&gt;&lt;_place_published&gt;England&lt;/_place_published&gt;&lt;_url&gt;https://pubmed.ncbi.nlm.nih.gov/24451623_x000d__x000a_https://www.ncbi.nlm.nih.gov/pmc/articles/PMC3998144/&lt;/_url&gt;&lt;_volume&gt;30&lt;/_volume&gt;&lt;/Details&gt;&lt;Extra&gt;&lt;DBUID&gt;{03752FAB-B361-4F66-989B-C711D9502F78}&lt;/DBUID&gt;&lt;/Extra&gt;&lt;/Item&gt;&lt;/References&gt;&lt;/Group&gt;&lt;/Citation&gt;_x000a_"/>
    <w:docVar w:name="NE.Ref{E434D955-2AE3-4907-BACE-F24851CE7F38}" w:val=" ADDIN NE.Ref.{E434D955-2AE3-4907-BACE-F24851CE7F38}&lt;Citation&gt;&lt;Group&gt;&lt;References&gt;&lt;Item&gt;&lt;ID&gt;616&lt;/ID&gt;&lt;UID&gt;{5B24B93C-A975-42E5-94DB-6832CC68FDFC}&lt;/UID&gt;&lt;Title&gt;Fumonisin detection and analysis of potential fumonisin-producing Fusarium spp. in asparagus (Asparagus officinalis L.) in Zhejiang Province of China&lt;/Title&gt;&lt;Template&gt;Journal Article&lt;/Template&gt;&lt;Star&gt;0&lt;/Star&gt;&lt;Tag&gt;0&lt;/Tag&gt;&lt;Author&gt;Wang, Jiansheng; Wang, Xiaoping; Zhou, Ying; Du, Liangcheng; Wang, Qiaomei&lt;/Author&gt;&lt;Year&gt;2010&lt;/Year&gt;&lt;Details&gt;&lt;_accession_num&gt;20355120&lt;/_accession_num&gt;&lt;_collection_scope&gt;SCIE&lt;/_collection_scope&gt;&lt;_created&gt;66260839&lt;/_created&gt;&lt;_date&gt;2010-04-15&lt;/_date&gt;&lt;_date_display&gt;2010/04/15&lt;/_date_display&gt;&lt;_db_updated&gt;PubMed&lt;/_db_updated&gt;&lt;_doi&gt;10.1002/jsfa.3893&lt;/_doi&gt;&lt;_impact_factor&gt;   3.300&lt;/_impact_factor&gt;&lt;_isbn&gt;1097-0010&lt;/_isbn&gt;&lt;_issue&gt;5&lt;/_issue&gt;&lt;_journal&gt;Journal of the science of food and agriculture&lt;/_journal&gt;&lt;_keywords&gt;Asparagus Plant/*chemistry/*microbiology; China; Chromatography, High Pressure Liquid; Food Contamination/statistics &amp;amp; numerical data; Fumonisins/*analysis/metabolism; Fusarium/classification/*isolation &amp;amp; purification/*metabolism/pathogenicity; Genes, Fungal; Limit of Detection; Mycological Typing Techniques/methods; Plant Shoots/*chemistry/*microbiology; Polymerase Chain Reaction; Protein Isoforms; Spectrometry, Mass, Electrospray Ionization&lt;/_keywords&gt;&lt;_modified&gt;66260839&lt;/_modified&gt;&lt;_pages&gt;836-842&lt;/_pages&gt;&lt;_place_published&gt;England&lt;/_place_published&gt;&lt;_social_category&gt;农业综合(2) &amp;amp; 应用化学(2) &amp;amp; 食品科技(3)&lt;/_social_category&gt;&lt;_url&gt;https://pubmed.ncbi.nlm.nih.gov/20355120&lt;/_url&gt;&lt;_volume&gt;90&lt;/_volume&gt;&lt;/Details&gt;&lt;Extra&gt;&lt;DBUID&gt;{03752FAB-B361-4F66-989B-C711D9502F78}&lt;/DBUID&gt;&lt;/Extra&gt;&lt;/Item&gt;&lt;/References&gt;&lt;/Group&gt;&lt;Group&gt;&lt;References&gt;&lt;Item&gt;&lt;ID&gt;617&lt;/ID&gt;&lt;UID&gt;{BBA58AB5-ECC9-4970-A3EB-6D07F1139454}&lt;/UID&gt;&lt;Title&gt;Hypolipidaemic and hepatoprotective effects of ethanolic and aqueous extracts from Asparagus officinalis L. by-products in mice fed a high-fat diet&lt;/Title&gt;&lt;Template&gt;Journal Article&lt;/Template&gt;&lt;Star&gt;0&lt;/Star&gt;&lt;Tag&gt;0&lt;/Tag&gt;&lt;Author&gt;Zhu, Xinglei; Zhang, Wen; Zhao, Jingjing; Wang, Jiesi; Qu, Weijing&lt;/Author&gt;&lt;Year&gt;2010&lt;/Year&gt;&lt;Details&gt;&lt;_accession_num&gt;20393993&lt;/_accession_num&gt;&lt;_collection_scope&gt;SCIE&lt;/_collection_scope&gt;&lt;_created&gt;66260845&lt;/_created&gt;&lt;_date&gt;2010-05-01&lt;/_date&gt;&lt;_date_display&gt;2010/05/&lt;/_date_display&gt;&lt;_db_updated&gt;PubMed&lt;/_db_updated&gt;&lt;_doi&gt;10.1002/jsfa.3923&lt;/_doi&gt;&lt;_impact_factor&gt;   3.300&lt;/_impact_factor&gt;&lt;_isbn&gt;1097-0010&lt;/_isbn&gt;&lt;_issue&gt;7&lt;/_issue&gt;&lt;_journal&gt;Journal of the science of food and agriculture&lt;/_journal&gt;&lt;_keywords&gt;Alanine Transaminase/blood; Animals; Antioxidants/pharmacology/therapeutic use; Asparagus Plant/*chemistry; Aspartate Aminotransferases/blood; Body Weight/drug effects; Cholesterol/*blood; Dietary Fats/administration &amp;amp; dosage; Hyperlipidemias/drug therapy; Hypolipidemic Agents/pharmacology/*therapeutic use; Liver/*drug effects/metabolism; Male; Malondialdehyde/blood; Mice; Mice, Inbred ICR; Phytotherapy; Plant Extracts/pharmacology/*therapeutic use; Superoxide Dismutase/metabolism; Weight Gain/*drug effects&lt;/_keywords&gt;&lt;_modified&gt;66260845&lt;/_modified&gt;&lt;_pages&gt;1129-1135&lt;/_pages&gt;&lt;_place_published&gt;England&lt;/_place_published&gt;&lt;_social_category&gt;农业综合(2) &amp;amp; 应用化学(2) &amp;amp; 食品科技(3)&lt;/_social_category&gt;&lt;_url&gt;https://pubmed.ncbi.nlm.nih.gov/20393993&lt;/_url&gt;&lt;_volume&gt;90&lt;/_volume&gt;&lt;/Details&gt;&lt;Extra&gt;&lt;DBUID&gt;{03752FAB-B361-4F66-989B-C711D9502F78}&lt;/DBUID&gt;&lt;/Extra&gt;&lt;/Item&gt;&lt;/References&gt;&lt;/Group&gt;&lt;/Citation&gt;_x000a_"/>
    <w:docVar w:name="NE.Ref{EE80B292-01C2-42D3-A00F-4C6D5515ADEE}" w:val=" ADDIN NE.Ref.{EE80B292-01C2-42D3-A00F-4C6D5515ADEE}&lt;Citation&gt;&lt;Group&gt;&lt;References&gt;&lt;Item&gt;&lt;ID&gt;586&lt;/ID&gt;&lt;UID&gt;{41280E96-028A-4002-9C8A-2CC46C777A45}&lt;/UID&gt;&lt;Title&gt;Blast2GO: a universal tool for annotation, visualization and analysis in functional genomics research&lt;/Title&gt;&lt;Template&gt;Journal Article&lt;/Template&gt;&lt;Star&gt;0&lt;/Star&gt;&lt;Tag&gt;0&lt;/Tag&gt;&lt;Author&gt;Conesa, Ana; Götz, Stefan; García-Gómez, Juan Miguel; Terol, Javier; Talón, Manuel; Robles, Montserrat&lt;/Author&gt;&lt;Year&gt;2005&lt;/Year&gt;&lt;Details&gt;&lt;_created&gt;66239608&lt;/_created&gt;&lt;_date&gt;2005-09-15&lt;/_date&gt;&lt;_date_display&gt;2005/09/15&lt;/_date_display&gt;&lt;_db_updated&gt;PubMed&lt;/_db_updated&gt;&lt;_doi&gt;10.1093/bioinformatics/bti610&lt;/_doi&gt;&lt;_impact_factor&gt;   4.400&lt;/_impact_factor&gt;&lt;_isbn&gt;1367-4803&lt;/_isbn&gt;&lt;_issue&gt;18&lt;/_issue&gt;&lt;_journal&gt;Bioinformatics (Oxford, England)&lt;/_journal&gt;&lt;_keywords&gt;Algorithms; Computational Biology/*methods; Computer Graphics; Database Management Systems; Databases, Protein; Gene Expression Profiling/*methods; Genome; *Genomics; Information Storage and Retrieval/*methods; Internet; Oligonucleotide Array Sequence Analysis; Sequence Alignment; Sequence Analysis, Protein; *Software; User-Computer Interface&lt;/_keywords&gt;&lt;_modified&gt;66239608&lt;/_modified&gt;&lt;_pages&gt;3674-3676&lt;/_pages&gt;&lt;_place_published&gt;England&lt;/_place_published&gt;&lt;_social_category&gt;生化研究方法(2) &amp;amp; 生物工程与应用微生物(3) &amp;amp; 数学与计算生物学(2)&lt;/_social_category&gt;&lt;_url&gt;https://pubmed.ncbi.nlm.nih.gov/16081474&lt;/_url&gt;&lt;_volume&gt;21&lt;/_volume&gt;&lt;/Details&gt;&lt;Extra&gt;&lt;DBUID&gt;{03752FAB-B361-4F66-989B-C711D9502F78}&lt;/DBUID&gt;&lt;/Extra&gt;&lt;/Item&gt;&lt;/References&gt;&lt;/Group&gt;&lt;/Citation&gt;_x000a_"/>
    <w:docVar w:name="NE.Ref{F375A83D-DE18-4D48-8A2A-27F9BFF77075}" w:val=" ADDIN NE.Ref.{F375A83D-DE18-4D48-8A2A-27F9BFF77075}&lt;Citation&gt;&lt;Group&gt;&lt;References&gt;&lt;Item&gt;&lt;ID&gt;652&lt;/ID&gt;&lt;UID&gt;{7F64DB89-C21A-4C1C-BC6A-54D2EF7CE800}&lt;/UID&gt;&lt;Title&gt;Complete genome sequence of a novel botourmiavirus infecting the fungus Phomopsis asparagi&lt;/Title&gt;&lt;Template&gt;Journal Article&lt;/Template&gt;&lt;Star&gt;0&lt;/Star&gt;&lt;Tag&gt;0&lt;/Tag&gt;&lt;Author&gt;Zhou, Jingyi; Liu, Shuang; Xu, Yun; Yan, Junhan; Xie, Changping; Zheng, Li; Chen, Daipeng&lt;/Author&gt;&lt;Year&gt;2024&lt;/Year&gt;&lt;Details&gt;&lt;_accession_num&gt;38981885&lt;/_accession_num&gt;&lt;_date_display&gt;2024/07/09&lt;/_date_display&gt;&lt;_date&gt;2024-07-09&lt;/_date&gt;&lt;_doi&gt;10.1007/s00705-024-06084-6&lt;/_doi&gt;&lt;_isbn&gt;1432-8798&lt;/_isbn&gt;&lt;_issue&gt;8&lt;/_issue&gt;&lt;_journal&gt;Archives of virology&lt;/_journal&gt;&lt;_keywords&gt;*Genome, Viral; *Phylogeny; *Fungal Viruses/genetics/classification/isolation &amp;amp; purification; *Open Reading Frames; *Phomopsis/virology; *RNA, Viral/genetics; Whole Genome Sequencing; RNA-Dependent RNA Polymerase/genetics; Base Composition; Plant Diseases/microbiology/virology; Viral Proteins/genetics; Base Sequence; RNA Viruses/genetics/isolation &amp;amp; purification/classification&lt;/_keywords&gt;&lt;_pages&gt;161&lt;/_pages&gt;&lt;_place_published&gt;Austria&lt;/_place_published&gt;&lt;_url&gt;https://pubmed.ncbi.nlm.nih.gov/38981885&lt;/_url&gt;&lt;_volume&gt;169&lt;/_volume&gt;&lt;_created&gt;66400862&lt;/_created&gt;&lt;_modified&gt;66400862&lt;/_modified&gt;&lt;_db_updated&gt;PubMed&lt;/_db_updated&gt;&lt;_impact_factor&gt;   2.500&lt;/_impact_factor&gt;&lt;_social_category&gt;病毒学(4)&lt;/_social_category&gt;&lt;_collection_scope&gt;SCIE&lt;/_collection_scope&gt;&lt;/Details&gt;&lt;Extra&gt;&lt;DBUID&gt;{03752FAB-B361-4F66-989B-C711D9502F78}&lt;/DBUID&gt;&lt;/Extra&gt;&lt;/Item&gt;&lt;/References&gt;&lt;/Group&gt;&lt;/Citation&gt;_x000a_"/>
    <w:docVar w:name="NE.Ref{F3BCD1BC-2AEC-4C00-8EA0-77879ABBD05F}" w:val=" ADDIN NE.Ref.{F3BCD1BC-2AEC-4C00-8EA0-77879ABBD05F}&lt;Citation&gt;&lt;Group&gt;&lt;References&gt;&lt;Item&gt;&lt;ID&gt;630&lt;/ID&gt;&lt;UID&gt;{2E4F524E-7EFC-4880-B6A8-20FA3854628C}&lt;/UID&gt;&lt;Title&gt;BUSCO: assessing genome assembly and annotation completeness with single-copy orthologs&lt;/Title&gt;&lt;Template&gt;Journal Article&lt;/Template&gt;&lt;Star&gt;0&lt;/Star&gt;&lt;Tag&gt;0&lt;/Tag&gt;&lt;Author&gt;Simão, Felipe A; Waterhouse, Robert M; Ioannidis, Panagiotis; Kriventseva, Evgenia V; Zdobnov, Evgeny M&lt;/Author&gt;&lt;Year&gt;2015&lt;/Year&gt;&lt;Details&gt;&lt;_accession_num&gt;26059717&lt;/_accession_num&gt;&lt;_date_display&gt;2015/10/01&lt;/_date_display&gt;&lt;_date&gt;2015-10-01&lt;/_date&gt;&lt;_doi&gt;10.1093/bioinformatics/btv351&lt;/_doi&gt;&lt;_isbn&gt;1367-4811&lt;/_isbn&gt;&lt;_issue&gt;19&lt;/_issue&gt;&lt;_journal&gt;Bioinformatics (Oxford, England)&lt;/_journal&gt;&lt;_keywords&gt;Animals; Computational Biology/*methods; Gene Dosage/*genetics; *Genome; Genomics/*methods; Humans; Molecular Sequence Annotation/*methods; *Software&lt;/_keywords&gt;&lt;_pages&gt;3210-3212&lt;/_pages&gt;&lt;_place_published&gt;England&lt;/_place_published&gt;&lt;_url&gt;https://pubmed.ncbi.nlm.nih.gov/26059717&lt;/_url&gt;&lt;_volume&gt;31&lt;/_volume&gt;&lt;_created&gt;66269752&lt;/_created&gt;&lt;_modified&gt;66269752&lt;/_modified&gt;&lt;_db_updated&gt;PubMed&lt;/_db_updated&gt;&lt;/Details&gt;&lt;Extra&gt;&lt;DBUID&gt;{03752FAB-B361-4F66-989B-C711D9502F78}&lt;/DBUID&gt;&lt;/Extra&gt;&lt;/Item&gt;&lt;/References&gt;&lt;/Group&gt;&lt;/Citation&gt;_x000a_"/>
    <w:docVar w:name="NE.Ref{F570B524-8250-41F1-85F2-8304D32C1CD0}" w:val=" ADDIN NE.Ref.{F570B524-8250-41F1-85F2-8304D32C1CD0}&lt;Citation&gt;&lt;Group&gt;&lt;References&gt;&lt;Item&gt;&lt;ID&gt;627&lt;/ID&gt;&lt;UID&gt;{3C16CF6E-2179-4142-A515-125192355479}&lt;/UID&gt;&lt;Title&gt;Genomic analysis of the necrotrophic fungal pathogens Sclerotinia sclerotiorum and Botrytis cinerea&lt;/Title&gt;&lt;Template&gt;Journal Article&lt;/Template&gt;&lt;Star&gt;0&lt;/Star&gt;&lt;Tag&gt;0&lt;/Tag&gt;&lt;Author&gt;Amselem, Joelle; Cuomo, Christina A; van Kan, Jan A L; Viaud, Muriel; Benito, Ernesto P; Couloux, Arnaud; Coutinho, Pedro M; de Vries, Ronald P; Dyer, Paul S; Fillinger, Sabine; Fournier, Elisabeth; Gout, Lilian; Hahn, Matthias; Kohn, Linda; Lapalu, Nicolas; Plummer, Kim M; Pradier, Jean-Marc; Quévillon, Emmanuel; Sharon, Amir; Simon, Adeline; Ten Have, Arjen; Tudzynski, Bettina; Tudzynski, Paul; Wincker, Patrick; Andrew, Marion; Anthouard, Véronique; Beever, Ross E; Beffa, Rolland; Benoit, Isabelle; Bouzid, Ourdia; Brault, Baptiste; Chen, Zehua; Choquer, Mathias; Collémare, Jérome; Cotton, Pascale; Danchin, Etienne G; Da Silva, Corinne; Gautier, Angélique; Giraud, Corinne; Giraud, Tatiana; Gonzalez, Celedonio; Grossetete, Sandrine; Güldener, Ulrich; Henrissat, Bernard; Howlett, Barbara J; Kodira, Chinnappa; Kretschmer, Matthias; Lappartient, Anne; Leroch, Michaela; Levis, Caroline; Mauceli, Evan; Neuvéglise, Cécile; Oeser, Birgitt; Pearson, Matthew; Poulain, Julie; Poussereau, Nathalie; Quesneville, Hadi; Rascle, Christine; Schumacher, Julia; Ségurens, Béatrice; Sexton, Adrienne; Silva, Evelyn; Sirven, Catherine; Soanes, Darren M; Talbot, Nicholas J; Templeton, Matt; Yandava, Chandri; Yarden, Oded; Zeng, Qiandong; Rollins, Jeffrey A; Lebrun, Marc-Henri; Dickman, Marty&lt;/Author&gt;&lt;Year&gt;2011&lt;/Year&gt;&lt;Details&gt;&lt;_accession_num&gt;21876677&lt;/_accession_num&gt;&lt;_collection_scope&gt;SCIE&lt;/_collection_scope&gt;&lt;_created&gt;66262208&lt;/_created&gt;&lt;_date&gt;2011-08-01&lt;/_date&gt;&lt;_date_display&gt;2011/08/&lt;/_date_display&gt;&lt;_db_updated&gt;PubMed&lt;/_db_updated&gt;&lt;_doi&gt;10.1371/journal.pgen.1002230&lt;/_doi&gt;&lt;_impact_factor&gt;   4.000&lt;/_impact_factor&gt;&lt;_isbn&gt;1553-7404&lt;/_isbn&gt;&lt;_issue&gt;8&lt;/_issue&gt;&lt;_journal&gt;PLoS genetics&lt;/_journal&gt;&lt;_keywords&gt;Ascomycota/*genetics; Botrytis/*genetics; DNA Transposable Elements; Genes, Fungal; *Genome, Fungal; Genomics; Phylogeny; Plant Diseases/genetics/*microbiology; Synteny&lt;/_keywords&gt;&lt;_modified&gt;66262208&lt;/_modified&gt;&lt;_pages&gt;e1002230&lt;/_pages&gt;&lt;_place_published&gt;United States&lt;/_place_published&gt;&lt;_social_category&gt;遗传学(2)&lt;/_social_category&gt;&lt;_url&gt;https://pubmed.ncbi.nlm.nih.gov/21876677_x000d__x000a_https://www.ncbi.nlm.nih.gov/pmc/articles/PMC3158057/&lt;/_url&gt;&lt;_volume&gt;7&lt;/_volume&gt;&lt;/Details&gt;&lt;Extra&gt;&lt;DBUID&gt;{03752FAB-B361-4F66-989B-C711D9502F78}&lt;/DBUID&gt;&lt;/Extra&gt;&lt;/Item&gt;&lt;/References&gt;&lt;/Group&gt;&lt;/Citation&gt;_x000a_"/>
    <w:docVar w:name="NE.Ref{F7E023C0-1610-4A14-BF3C-E72DE3E3BC3E}" w:val=" ADDIN NE.Ref.{F7E023C0-1610-4A14-BF3C-E72DE3E3BC3E}&lt;Citation&gt;&lt;Group&gt;&lt;References&gt;&lt;Item&gt;&lt;ID&gt;609&lt;/ID&gt;&lt;UID&gt;{D0F4CFBC-1A51-4650-BA19-7963E62DE278}&lt;/UID&gt;&lt;Title&gt;A program for annotating and predicting the effects of single nucleotide polymorphisms, SnpEff: SNPs in the genome of Drosophila melanogaster strain w1118; iso-2; iso-3&lt;/Title&gt;&lt;Template&gt;Journal Article&lt;/Template&gt;&lt;Star&gt;0&lt;/Star&gt;&lt;Tag&gt;0&lt;/Tag&gt;&lt;Author&gt;Cingolani, Pablo; Platts, Adrian; Wang, Le Lily; Coon, Melissa; Nguyen, Tung; Wang, Luan; Land, Susan J; Lu, Xiangyi; Ruden, Douglas M&lt;/Author&gt;&lt;Year&gt;2012&lt;/Year&gt;&lt;Details&gt;&lt;_collection_scope&gt;SCIE&lt;/_collection_scope&gt;&lt;_created&gt;66246679&lt;/_created&gt;&lt;_date&gt;2012-01-01&lt;/_date&gt;&lt;_date_display&gt;2012///Apr-Jun&lt;/_date_display&gt;&lt;_db_updated&gt;PubMed&lt;/_db_updated&gt;&lt;_doi&gt;10.4161/fly.19695&lt;/_doi&gt;&lt;_impact_factor&gt;   2.400&lt;/_impact_factor&gt;&lt;_isbn&gt;1933-6942&lt;/_isbn&gt;&lt;_issue&gt;2&lt;/_issue&gt;&lt;_journal&gt;Fly&lt;/_journal&gt;&lt;_keywords&gt;Animals; Drosophila melanogaster/*genetics; Genome, Insect; Male; *Molecular Sequence Annotation; *Polymorphism, Single Nucleotide; *Software&lt;/_keywords&gt;&lt;_modified&gt;66246679&lt;/_modified&gt;&lt;_pages&gt;80-92&lt;/_pages&gt;&lt;_place_published&gt;United States&lt;/_place_published&gt;&lt;_social_category&gt;生化与分子生物学(4)&lt;/_social_category&gt;&lt;_url&gt;https://pubmed.ncbi.nlm.nih.gov/22728672_x000d__x000a_https://www.ncbi.nlm.nih.gov/pmc/articles/PMC3679285/&lt;/_url&gt;&lt;_volume&gt;6&lt;/_volume&gt;&lt;/Details&gt;&lt;Extra&gt;&lt;DBUID&gt;{03752FAB-B361-4F66-989B-C711D9502F78}&lt;/DBUID&gt;&lt;/Extra&gt;&lt;/Item&gt;&lt;/References&gt;&lt;/Group&gt;&lt;/Citation&gt;_x000a_"/>
    <w:docVar w:name="ne_docsoft" w:val="MSWord"/>
    <w:docVar w:name="ne_docversion" w:val="NoteExpress 2.0"/>
    <w:docVar w:name="ne_stylename" w:val="J Plant Physiol"/>
  </w:docVars>
  <w:rsids>
    <w:rsidRoot w:val="00172A27"/>
    <w:rsid w:val="0007482A"/>
    <w:rsid w:val="00083C60"/>
    <w:rsid w:val="000B0297"/>
    <w:rsid w:val="00135B7C"/>
    <w:rsid w:val="00172A27"/>
    <w:rsid w:val="00223583"/>
    <w:rsid w:val="00322C12"/>
    <w:rsid w:val="00370DB1"/>
    <w:rsid w:val="003B52E6"/>
    <w:rsid w:val="00500138"/>
    <w:rsid w:val="00574536"/>
    <w:rsid w:val="00586EC2"/>
    <w:rsid w:val="005A258F"/>
    <w:rsid w:val="005E3158"/>
    <w:rsid w:val="00637CBD"/>
    <w:rsid w:val="00661709"/>
    <w:rsid w:val="006A49A9"/>
    <w:rsid w:val="006C0DA0"/>
    <w:rsid w:val="0073732A"/>
    <w:rsid w:val="007972EB"/>
    <w:rsid w:val="0083457A"/>
    <w:rsid w:val="008A2FDC"/>
    <w:rsid w:val="008B0E6B"/>
    <w:rsid w:val="008E42B4"/>
    <w:rsid w:val="00931BFC"/>
    <w:rsid w:val="009635D4"/>
    <w:rsid w:val="00975F73"/>
    <w:rsid w:val="009861E3"/>
    <w:rsid w:val="009A69B4"/>
    <w:rsid w:val="00AB2F98"/>
    <w:rsid w:val="00AB3C23"/>
    <w:rsid w:val="00AB4ACF"/>
    <w:rsid w:val="00AF6647"/>
    <w:rsid w:val="00B076F1"/>
    <w:rsid w:val="00B17C0A"/>
    <w:rsid w:val="00C02A69"/>
    <w:rsid w:val="00CB36B4"/>
    <w:rsid w:val="00E0553F"/>
    <w:rsid w:val="00F1484E"/>
    <w:rsid w:val="00F4465D"/>
    <w:rsid w:val="00FC43F8"/>
    <w:rsid w:val="01BF3B69"/>
    <w:rsid w:val="0243345B"/>
    <w:rsid w:val="0288429D"/>
    <w:rsid w:val="02F96864"/>
    <w:rsid w:val="04A27556"/>
    <w:rsid w:val="054364BD"/>
    <w:rsid w:val="05923541"/>
    <w:rsid w:val="06B17D8A"/>
    <w:rsid w:val="09F77876"/>
    <w:rsid w:val="0A657CDD"/>
    <w:rsid w:val="0A6A7554"/>
    <w:rsid w:val="0C1E558E"/>
    <w:rsid w:val="0C7C51F1"/>
    <w:rsid w:val="0C973A72"/>
    <w:rsid w:val="0D7511DD"/>
    <w:rsid w:val="0DF93BBD"/>
    <w:rsid w:val="0E941B37"/>
    <w:rsid w:val="102313C5"/>
    <w:rsid w:val="110542EE"/>
    <w:rsid w:val="133F00ED"/>
    <w:rsid w:val="16500A3A"/>
    <w:rsid w:val="16CF5E02"/>
    <w:rsid w:val="16D23887"/>
    <w:rsid w:val="18A92683"/>
    <w:rsid w:val="1A5701B5"/>
    <w:rsid w:val="1A766595"/>
    <w:rsid w:val="1B542D7A"/>
    <w:rsid w:val="1BDB0DA5"/>
    <w:rsid w:val="1CA40C93"/>
    <w:rsid w:val="1CC57360"/>
    <w:rsid w:val="1DDD6F88"/>
    <w:rsid w:val="1EDD3086"/>
    <w:rsid w:val="1F240CB5"/>
    <w:rsid w:val="20014B53"/>
    <w:rsid w:val="22C90F60"/>
    <w:rsid w:val="239930DE"/>
    <w:rsid w:val="248F494F"/>
    <w:rsid w:val="251F4384"/>
    <w:rsid w:val="25B048F4"/>
    <w:rsid w:val="284101E2"/>
    <w:rsid w:val="28D9041B"/>
    <w:rsid w:val="298446CD"/>
    <w:rsid w:val="2A0B0AA8"/>
    <w:rsid w:val="2A0C6913"/>
    <w:rsid w:val="2B3E6C5B"/>
    <w:rsid w:val="2C1E109E"/>
    <w:rsid w:val="2C4C53A8"/>
    <w:rsid w:val="2D693B27"/>
    <w:rsid w:val="2F041F69"/>
    <w:rsid w:val="316A69FC"/>
    <w:rsid w:val="31D24378"/>
    <w:rsid w:val="32546D64"/>
    <w:rsid w:val="337E212F"/>
    <w:rsid w:val="34D016E6"/>
    <w:rsid w:val="35E11256"/>
    <w:rsid w:val="374B1525"/>
    <w:rsid w:val="377F6939"/>
    <w:rsid w:val="39E9692C"/>
    <w:rsid w:val="3B934DA1"/>
    <w:rsid w:val="3BD568B4"/>
    <w:rsid w:val="3DA45707"/>
    <w:rsid w:val="3E6A003B"/>
    <w:rsid w:val="3EB63280"/>
    <w:rsid w:val="3FCC262F"/>
    <w:rsid w:val="3FDF2363"/>
    <w:rsid w:val="41F83BB0"/>
    <w:rsid w:val="42116A20"/>
    <w:rsid w:val="423414F0"/>
    <w:rsid w:val="429733C9"/>
    <w:rsid w:val="432A0923"/>
    <w:rsid w:val="43F32881"/>
    <w:rsid w:val="443A04B0"/>
    <w:rsid w:val="470E6FB5"/>
    <w:rsid w:val="476F66C2"/>
    <w:rsid w:val="478A6854"/>
    <w:rsid w:val="487D4E0F"/>
    <w:rsid w:val="490B241B"/>
    <w:rsid w:val="49682AB7"/>
    <w:rsid w:val="49996FEB"/>
    <w:rsid w:val="49A07007"/>
    <w:rsid w:val="49A7396E"/>
    <w:rsid w:val="4A8574F1"/>
    <w:rsid w:val="4B1C0C8A"/>
    <w:rsid w:val="4BC32B39"/>
    <w:rsid w:val="4CD60F91"/>
    <w:rsid w:val="4E5403C0"/>
    <w:rsid w:val="4F1F09CE"/>
    <w:rsid w:val="50487025"/>
    <w:rsid w:val="548F73CA"/>
    <w:rsid w:val="54AB6860"/>
    <w:rsid w:val="54C3004D"/>
    <w:rsid w:val="54F83965"/>
    <w:rsid w:val="55472A2C"/>
    <w:rsid w:val="573174F0"/>
    <w:rsid w:val="5955445C"/>
    <w:rsid w:val="5A467DB2"/>
    <w:rsid w:val="5C734107"/>
    <w:rsid w:val="5D5C103F"/>
    <w:rsid w:val="5D9571F8"/>
    <w:rsid w:val="5EE74938"/>
    <w:rsid w:val="5FA7663D"/>
    <w:rsid w:val="601856F1"/>
    <w:rsid w:val="60223061"/>
    <w:rsid w:val="610E2076"/>
    <w:rsid w:val="61834E20"/>
    <w:rsid w:val="62EF29CD"/>
    <w:rsid w:val="637013A0"/>
    <w:rsid w:val="64085963"/>
    <w:rsid w:val="6488096B"/>
    <w:rsid w:val="650C50F9"/>
    <w:rsid w:val="68104F00"/>
    <w:rsid w:val="69540E1C"/>
    <w:rsid w:val="69FF708D"/>
    <w:rsid w:val="6A6242D1"/>
    <w:rsid w:val="6AE8173F"/>
    <w:rsid w:val="6B602F94"/>
    <w:rsid w:val="6C7C7095"/>
    <w:rsid w:val="6D393CBC"/>
    <w:rsid w:val="6D604233"/>
    <w:rsid w:val="6F2E5E3B"/>
    <w:rsid w:val="6FC7781B"/>
    <w:rsid w:val="715F2B99"/>
    <w:rsid w:val="719114DA"/>
    <w:rsid w:val="728564EA"/>
    <w:rsid w:val="72DB6EF9"/>
    <w:rsid w:val="73522870"/>
    <w:rsid w:val="745F65BF"/>
    <w:rsid w:val="75820FFB"/>
    <w:rsid w:val="783D70A1"/>
    <w:rsid w:val="79B1074F"/>
    <w:rsid w:val="7AB51848"/>
    <w:rsid w:val="7B9559F0"/>
    <w:rsid w:val="7B98103C"/>
    <w:rsid w:val="7BC97448"/>
    <w:rsid w:val="7BD52290"/>
    <w:rsid w:val="7D5614D1"/>
    <w:rsid w:val="7D9D1AEA"/>
    <w:rsid w:val="7DEE3196"/>
    <w:rsid w:val="7E4A00EC"/>
    <w:rsid w:val="7EE822DB"/>
    <w:rsid w:val="7FA362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6"/>
    <w:qFormat/>
    <w:uiPriority w:val="0"/>
    <w:rPr>
      <w:sz w:val="18"/>
      <w:szCs w:val="18"/>
    </w:rPr>
  </w:style>
  <w:style w:type="paragraph" w:styleId="3">
    <w:name w:val="footer"/>
    <w:basedOn w:val="1"/>
    <w:link w:val="15"/>
    <w:qFormat/>
    <w:uiPriority w:val="0"/>
    <w:pPr>
      <w:tabs>
        <w:tab w:val="center" w:pos="4153"/>
        <w:tab w:val="right" w:pos="8306"/>
      </w:tabs>
      <w:snapToGrid w:val="0"/>
      <w:jc w:val="left"/>
    </w:pPr>
    <w:rPr>
      <w:sz w:val="18"/>
      <w:szCs w:val="18"/>
    </w:rPr>
  </w:style>
  <w:style w:type="paragraph" w:styleId="4">
    <w:name w:val="header"/>
    <w:basedOn w:val="1"/>
    <w:link w:val="14"/>
    <w:qFormat/>
    <w:uiPriority w:val="0"/>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0"/>
    <w:rPr>
      <w:sz w:val="24"/>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0"/>
    <w:rPr>
      <w:b/>
    </w:rPr>
  </w:style>
  <w:style w:type="character" w:styleId="10">
    <w:name w:val="Emphasis"/>
    <w:basedOn w:val="8"/>
    <w:qFormat/>
    <w:uiPriority w:val="0"/>
    <w:rPr>
      <w:i/>
    </w:rPr>
  </w:style>
  <w:style w:type="character" w:styleId="11">
    <w:name w:val="line number"/>
    <w:basedOn w:val="8"/>
    <w:qFormat/>
    <w:uiPriority w:val="0"/>
  </w:style>
  <w:style w:type="character" w:styleId="12">
    <w:name w:val="Hyperlink"/>
    <w:basedOn w:val="8"/>
    <w:qFormat/>
    <w:uiPriority w:val="0"/>
    <w:rPr>
      <w:color w:val="0000FF"/>
      <w:u w:val="single"/>
    </w:rPr>
  </w:style>
  <w:style w:type="paragraph" w:customStyle="1" w:styleId="13">
    <w:name w:val="灿-表标题"/>
    <w:basedOn w:val="1"/>
    <w:autoRedefine/>
    <w:qFormat/>
    <w:uiPriority w:val="0"/>
    <w:pPr>
      <w:spacing w:line="360" w:lineRule="auto"/>
      <w:jc w:val="center"/>
    </w:pPr>
    <w:rPr>
      <w:rFonts w:ascii="Times New Roman" w:eastAsia="宋体"/>
      <w:szCs w:val="21"/>
    </w:rPr>
  </w:style>
  <w:style w:type="character" w:customStyle="1" w:styleId="14">
    <w:name w:val="页眉 字符"/>
    <w:basedOn w:val="8"/>
    <w:link w:val="4"/>
    <w:qFormat/>
    <w:uiPriority w:val="0"/>
    <w:rPr>
      <w:rFonts w:asciiTheme="minorHAnsi" w:hAnsiTheme="minorHAnsi" w:eastAsiaTheme="minorEastAsia" w:cstheme="minorBidi"/>
      <w:kern w:val="2"/>
      <w:sz w:val="18"/>
      <w:szCs w:val="18"/>
    </w:rPr>
  </w:style>
  <w:style w:type="character" w:customStyle="1" w:styleId="15">
    <w:name w:val="页脚 字符"/>
    <w:basedOn w:val="8"/>
    <w:link w:val="3"/>
    <w:qFormat/>
    <w:uiPriority w:val="0"/>
    <w:rPr>
      <w:rFonts w:asciiTheme="minorHAnsi" w:hAnsiTheme="minorHAnsi" w:eastAsiaTheme="minorEastAsia" w:cstheme="minorBidi"/>
      <w:kern w:val="2"/>
      <w:sz w:val="18"/>
      <w:szCs w:val="18"/>
    </w:rPr>
  </w:style>
  <w:style w:type="character" w:customStyle="1" w:styleId="16">
    <w:name w:val="批注框文本 字符"/>
    <w:basedOn w:val="8"/>
    <w:link w:val="2"/>
    <w:qFormat/>
    <w:uiPriority w:val="0"/>
    <w:rPr>
      <w:rFonts w:asciiTheme="minorHAnsi" w:hAnsiTheme="minorHAnsi" w:eastAsiaTheme="minorEastAsia" w:cstheme="minorBidi"/>
      <w:kern w:val="2"/>
      <w:sz w:val="18"/>
      <w:szCs w:val="18"/>
    </w:rPr>
  </w:style>
  <w:style w:type="paragraph" w:customStyle="1" w:styleId="17">
    <w:name w:val="Revision"/>
    <w:hidden/>
    <w:unhideWhenUsed/>
    <w:qFormat/>
    <w:uiPriority w:val="99"/>
    <w:rPr>
      <w:rFonts w:asciiTheme="minorHAnsi" w:hAnsiTheme="minorHAnsi" w:eastAsiaTheme="minorEastAsia" w:cstheme="minorBidi"/>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image" Target="media/image8.tiff"/><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13</Pages>
  <Words>876</Words>
  <Characters>5305</Characters>
  <Lines>373</Lines>
  <Paragraphs>105</Paragraphs>
  <TotalTime>0</TotalTime>
  <ScaleCrop>false</ScaleCrop>
  <LinksUpToDate>false</LinksUpToDate>
  <CharactersWithSpaces>6013</CharactersWithSpaces>
  <Application>WPS Office_12.1.0.26381_F1E327BC-269C-435d-A152-05C5408002CA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2025-12-04T03:42:00Z</dcterms:created>
  <dc:creator>Administrator</dc:creator>
  <cp:lastModifiedBy>sy</cp:lastModifiedBy>
  <dcterms:modified xsi:type="dcterms:W3CDTF">2026-07-24T10:27:47Z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2052-12.1.0.26381</vt:lpwstr>
  </property>
  <property fmtid="{D5CDD505-2E9C-101B-9397-08002B2CF9AE}" pid="3" name="KSOTemplateDocerSaveRecord">
    <vt:lpwstr>eyJoZGlkIjoiYTAyY2QxYzViOGY2ZDM0NTI2YThmYWE0YTA2ZTk0OTUiLCJ1c2VySWQiOiI0NTU4Mjk2NzUifQ==</vt:lpwstr>
  </property>
  <property fmtid="{D5CDD505-2E9C-101B-9397-08002B2CF9AE}" pid="4" name="ICV">
    <vt:lpwstr>EFD34148761A4471BD8F9172F4A1118B_12</vt:lpwstr>
  </property>
</Properties>
</file>