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32"/>
          <w:szCs w:val="32"/>
        </w:rPr>
        <w:t xml:space="preserve">LLM Task Prompts</w:t>
      </w:r>
    </w:p>
    <w:p>
      <w:pPr>
        <w:spacing w:after="320"/>
        <w:jc w:val="center"/>
      </w:pPr>
      <w:r>
        <w:rPr>
          <w:i/>
          <w:iCs/>
          <w:sz w:val="22"/>
          <w:szCs w:val="22"/>
        </w:rPr>
        <w:t xml:space="preserve">Supplementary Material — TRIPOD-LLM Prompt Documentation (versioned archival copy)</w:t>
      </w:r>
    </w:p>
    <w:p>
      <w:pPr>
        <w:spacing w:after="160"/>
      </w:pPr>
      <w:r>
        <w:t xml:space="preserve">These are the exact, versioned prompts used for Design A and Design B (Protocol Section 3.1). Per TRIPOD-LLM reporting requirements, the exact prompt text actually used is archived verbatim here, version by version, with the version used for each run logged alongside the model name/date. Where the verbatim text could not be recovered and was instead reconstructed from the manuscript's own description of what changed, this is stated explicitly in the version log below and at the point of use — the two provenance types should not be treated as equivalent.</w:t>
      </w:r>
    </w:p>
    <w:p>
      <w:pPr>
        <w:pStyle w:val="Heading1"/>
        <w:spacing w:after="140" w:before="320"/>
      </w:pPr>
      <w:r>
        <w:t xml:space="preserve">Target papers replicated</w:t>
      </w:r>
    </w:p>
    <w:p>
      <w:pPr>
        <w:pStyle w:val="ListParagraph"/>
        <w:numPr>
          <w:ilvl w:val="0"/>
          <w:numId w:val="2"/>
        </w:numPr>
        <w:spacing w:after="80"/>
      </w:pPr>
      <w:r>
        <w:t xml:space="preserve">Design A: Feistritzer HJ, Jobs A, de Waha-Thiele S, et al. Multivessel versus culprit-only PCI in STEMI patients with multivessel disease: meta-analysis of randomized controlled trials. Clin Res Cardiol. 2020;109:1381-1391. Database search closing 2019-07-22 to 2019-07-25.</w:t>
      </w:r>
    </w:p>
    <w:p>
      <w:pPr>
        <w:pStyle w:val="ListParagraph"/>
        <w:numPr>
          <w:ilvl w:val="0"/>
          <w:numId w:val="2"/>
        </w:numPr>
        <w:spacing w:after="80"/>
      </w:pPr>
      <w:r>
        <w:t xml:space="preserve">Design B: Kim HS, Kim JH, Jang HJ, Lee J. The addition of metformin to systemic anticancer therapy in advanced or metastatic cancers: a meta-analysis of randomized controlled trials. Int J Med Sci. 2020;17(15):2551-2560. Nine included RCTs, extracted by a two-person human review team with a third-reviewer tiebreaker.</w:t>
      </w:r>
    </w:p>
    <w:p>
      <w:pPr>
        <w:pStyle w:val="Heading1"/>
        <w:spacing w:after="140" w:before="320"/>
      </w:pPr>
      <w:r>
        <w:t xml:space="preserve">Model and access details</w:t>
      </w:r>
    </w:p>
    <w:p>
      <w:pPr>
        <w:spacing w:after="160"/>
      </w:pPr>
      <w:r>
        <w:t xml:space="preserve">Claude Sonnet 5 (Anthropic; model string claude-sonnet-5), at the interface’s medium reasoning-effort setting, accessed via standard chat interface, one fresh conversation per run with no shared context across runs. Model and effort level were confirmed as consistent across all sessions by the author, based on what the interface displayed at the time of each run, rather than a contemporaneous per-session log entry — this distinction is disclosed as a limitation in the manuscript (Section 5).</w:t>
      </w:r>
    </w:p>
    <w:p>
      <w:pPr>
        <w:pStyle w:val="Heading1"/>
        <w:spacing w:after="140" w:before="320"/>
      </w:pPr>
      <w:r>
        <w:t xml:space="preserve">Version log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2200"/>
        <w:gridCol w:w="3660"/>
        <w:gridCol w:w="2000"/>
      </w:tblGrid>
      <w:tr>
        <w:trPr>
          <w:tblHeader/>
        </w:trPr>
        <w:tc>
          <w:tcPr>
            <w:tcW w:type="dxa" w:w="1400"/>
            <w:shd w:fill="D9D9D9" w:val="clear"/>
            <w:tcMar>
              <w:top w:type="dxa" w:w="80"/>
              <w:left w:type="dxa" w:w="100"/>
              <w:bottom w:type="dxa" w:w="80"/>
              <w:right w:type="dxa" w:w="100"/>
            </w:tcMar>
          </w:tcPr>
          <w:p>
            <w:r>
              <w:rPr>
                <w:b/>
                <w:bCs/>
              </w:rPr>
              <w:t xml:space="preserve">Design</w:t>
            </w:r>
          </w:p>
        </w:tc>
        <w:tc>
          <w:tcPr>
            <w:tcW w:type="dxa" w:w="1800"/>
            <w:shd w:fill="D9D9D9" w:val="clear"/>
            <w:tcMar>
              <w:top w:type="dxa" w:w="80"/>
              <w:left w:type="dxa" w:w="100"/>
              <w:bottom w:type="dxa" w:w="80"/>
              <w:right w:type="dxa" w:w="100"/>
            </w:tcMar>
          </w:tcPr>
          <w:p>
            <w:r>
              <w:rPr>
                <w:b/>
                <w:bCs/>
              </w:rPr>
              <w:t xml:space="preserve">Version</w:t>
            </w:r>
          </w:p>
        </w:tc>
        <w:tc>
          <w:tcPr>
            <w:tcW w:type="dxa" w:w="2200"/>
            <w:shd w:fill="D9D9D9" w:val="clear"/>
            <w:tcMar>
              <w:top w:type="dxa" w:w="80"/>
              <w:left w:type="dxa" w:w="100"/>
              <w:bottom w:type="dxa" w:w="80"/>
              <w:right w:type="dxa" w:w="100"/>
            </w:tcMar>
          </w:tcPr>
          <w:p>
            <w:r>
              <w:rPr>
                <w:b/>
                <w:bCs/>
              </w:rPr>
              <w:t xml:space="preserve">Used in</w:t>
            </w:r>
          </w:p>
        </w:tc>
        <w:tc>
          <w:tcPr>
            <w:tcW w:type="dxa" w:w="3660"/>
            <w:shd w:fill="D9D9D9" w:val="clear"/>
            <w:tcMar>
              <w:top w:type="dxa" w:w="80"/>
              <w:left w:type="dxa" w:w="100"/>
              <w:bottom w:type="dxa" w:w="80"/>
              <w:right w:type="dxa" w:w="100"/>
            </w:tcMar>
          </w:tcPr>
          <w:p>
            <w:r>
              <w:rPr>
                <w:b/>
                <w:bCs/>
              </w:rPr>
              <w:t xml:space="preserve">Change from prior version</w:t>
            </w:r>
          </w:p>
        </w:tc>
        <w:tc>
          <w:tcPr>
            <w:tcW w:type="dxa" w:w="2000"/>
            <w:shd w:fill="D9D9D9" w:val="clear"/>
            <w:tcMar>
              <w:top w:type="dxa" w:w="80"/>
              <w:left w:type="dxa" w:w="100"/>
              <w:bottom w:type="dxa" w:w="80"/>
              <w:right w:type="dxa" w:w="100"/>
            </w:tcMar>
          </w:tcPr>
          <w:p>
            <w:r>
              <w:rPr>
                <w:b/>
                <w:bCs/>
              </w:rPr>
              <w:t xml:space="preserve">Provenance</w:t>
            </w:r>
          </w:p>
        </w:tc>
      </w:tr>
      <w:tr>
        <w:tc>
          <w:tcPr>
            <w:tcW w:type="dxa" w:w="1400"/>
            <w:tcMar>
              <w:top w:type="dxa" w:w="80"/>
              <w:left w:type="dxa" w:w="100"/>
              <w:bottom w:type="dxa" w:w="80"/>
              <w:right w:type="dxa" w:w="100"/>
            </w:tcMar>
          </w:tcPr>
          <w:p>
            <w:r>
              <w:rPr>
                <w:b w:val="false"/>
                <w:bCs w:val="false"/>
              </w:rPr>
              <w:t xml:space="preserve">Design A</w:t>
            </w:r>
          </w:p>
        </w:tc>
        <w:tc>
          <w:tcPr>
            <w:tcW w:type="dxa" w:w="1800"/>
            <w:tcMar>
              <w:top w:type="dxa" w:w="80"/>
              <w:left w:type="dxa" w:w="100"/>
              <w:bottom w:type="dxa" w:w="80"/>
              <w:right w:type="dxa" w:w="100"/>
            </w:tcMar>
          </w:tcPr>
          <w:p>
            <w:r>
              <w:rPr>
                <w:b w:val="false"/>
                <w:bCs w:val="false"/>
              </w:rPr>
              <w:t xml:space="preserve">v1</w:t>
            </w:r>
          </w:p>
        </w:tc>
        <w:tc>
          <w:tcPr>
            <w:tcW w:type="dxa" w:w="2200"/>
            <w:tcMar>
              <w:top w:type="dxa" w:w="80"/>
              <w:left w:type="dxa" w:w="100"/>
              <w:bottom w:type="dxa" w:w="80"/>
              <w:right w:type="dxa" w:w="100"/>
            </w:tcMar>
          </w:tcPr>
          <w:p>
            <w:r>
              <w:rPr>
                <w:b w:val="false"/>
                <w:bCs w:val="false"/>
              </w:rPr>
              <w:t xml:space="preserve">Round 1 (3 runs, no retrieval)</w:t>
            </w:r>
          </w:p>
        </w:tc>
        <w:tc>
          <w:tcPr>
            <w:tcW w:type="dxa" w:w="3660"/>
            <w:tcMar>
              <w:top w:type="dxa" w:w="80"/>
              <w:left w:type="dxa" w:w="100"/>
              <w:bottom w:type="dxa" w:w="80"/>
              <w:right w:type="dxa" w:w="100"/>
            </w:tcMar>
          </w:tcPr>
          <w:p>
            <w:r>
              <w:rPr>
                <w:b w:val="false"/>
                <w:bCs w:val="false"/>
              </w:rPr>
              <w:t xml:space="preserve">Base autonomous-replication prompt. Cutoff filled as 2019-12-31.</w:t>
            </w:r>
          </w:p>
        </w:tc>
        <w:tc>
          <w:tcPr>
            <w:tcW w:type="dxa" w:w="2000"/>
            <w:tcMar>
              <w:top w:type="dxa" w:w="80"/>
              <w:left w:type="dxa" w:w="100"/>
              <w:bottom w:type="dxa" w:w="80"/>
              <w:right w:type="dxa" w:w="100"/>
            </w:tcMar>
          </w:tcPr>
          <w:p>
            <w:r>
              <w:rPr>
                <w:b w:val="false"/>
                <w:bCs w:val="false"/>
              </w:rPr>
              <w:t xml:space="preserve">Recovered verbatim</w:t>
            </w:r>
          </w:p>
        </w:tc>
      </w:tr>
      <w:tr>
        <w:tc>
          <w:tcPr>
            <w:tcW w:type="dxa" w:w="1400"/>
            <w:tcMar>
              <w:top w:type="dxa" w:w="80"/>
              <w:left w:type="dxa" w:w="100"/>
              <w:bottom w:type="dxa" w:w="80"/>
              <w:right w:type="dxa" w:w="100"/>
            </w:tcMar>
          </w:tcPr>
          <w:p>
            <w:r>
              <w:rPr>
                <w:b w:val="false"/>
                <w:bCs w:val="false"/>
              </w:rPr>
              <w:t xml:space="preserve">Design A</w:t>
            </w:r>
          </w:p>
        </w:tc>
        <w:tc>
          <w:tcPr>
            <w:tcW w:type="dxa" w:w="1800"/>
            <w:tcMar>
              <w:top w:type="dxa" w:w="80"/>
              <w:left w:type="dxa" w:w="100"/>
              <w:bottom w:type="dxa" w:w="80"/>
              <w:right w:type="dxa" w:w="100"/>
            </w:tcMar>
          </w:tcPr>
          <w:p>
            <w:r>
              <w:rPr>
                <w:b w:val="false"/>
                <w:bCs w:val="false"/>
              </w:rPr>
              <w:t xml:space="preserve">v2</w:t>
            </w:r>
          </w:p>
        </w:tc>
        <w:tc>
          <w:tcPr>
            <w:tcW w:type="dxa" w:w="2200"/>
            <w:tcMar>
              <w:top w:type="dxa" w:w="80"/>
              <w:left w:type="dxa" w:w="100"/>
              <w:bottom w:type="dxa" w:w="80"/>
              <w:right w:type="dxa" w:w="100"/>
            </w:tcMar>
          </w:tcPr>
          <w:p>
            <w:r>
              <w:rPr>
                <w:b w:val="false"/>
                <w:bCs w:val="false"/>
              </w:rPr>
              <w:t xml:space="preserve">Round 3 (5 runs, retrieval-enabled)</w:t>
            </w:r>
          </w:p>
        </w:tc>
        <w:tc>
          <w:tcPr>
            <w:tcW w:type="dxa" w:w="3660"/>
            <w:tcMar>
              <w:top w:type="dxa" w:w="80"/>
              <w:left w:type="dxa" w:w="100"/>
              <w:bottom w:type="dxa" w:w="80"/>
              <w:right w:type="dxa" w:w="100"/>
            </w:tcMar>
          </w:tcPr>
          <w:p>
            <w:r>
              <w:rPr>
                <w:b w:val="false"/>
                <w:bCs w:val="false"/>
              </w:rPr>
              <w:t xml:space="preserve">Added “CRITICAL CONSTRAINT — USE SEARCH TOOLS” block; corrected cutoff to 2019-07-25 (target review’s precise search-closure date); added tool_use and searches_performed schema fields.</w:t>
            </w:r>
          </w:p>
        </w:tc>
        <w:tc>
          <w:tcPr>
            <w:tcW w:type="dxa" w:w="2000"/>
            <w:tcMar>
              <w:top w:type="dxa" w:w="80"/>
              <w:left w:type="dxa" w:w="100"/>
              <w:bottom w:type="dxa" w:w="80"/>
              <w:right w:type="dxa" w:w="100"/>
            </w:tcMar>
          </w:tcPr>
          <w:p>
            <w:r>
              <w:rPr>
                <w:b w:val="false"/>
                <w:bCs w:val="false"/>
              </w:rPr>
              <w:t xml:space="preserve">Recovered verbatim</w:t>
            </w:r>
          </w:p>
        </w:tc>
      </w:tr>
      <w:tr>
        <w:tc>
          <w:tcPr>
            <w:tcW w:type="dxa" w:w="1400"/>
            <w:tcMar>
              <w:top w:type="dxa" w:w="80"/>
              <w:left w:type="dxa" w:w="100"/>
              <w:bottom w:type="dxa" w:w="80"/>
              <w:right w:type="dxa" w:w="100"/>
            </w:tcMar>
          </w:tcPr>
          <w:p>
            <w:r>
              <w:rPr>
                <w:b w:val="false"/>
                <w:bCs w:val="false"/>
              </w:rPr>
              <w:t xml:space="preserve">Design B</w:t>
            </w:r>
          </w:p>
        </w:tc>
        <w:tc>
          <w:tcPr>
            <w:tcW w:type="dxa" w:w="1800"/>
            <w:tcMar>
              <w:top w:type="dxa" w:w="80"/>
              <w:left w:type="dxa" w:w="100"/>
              <w:bottom w:type="dxa" w:w="80"/>
              <w:right w:type="dxa" w:w="100"/>
            </w:tcMar>
          </w:tcPr>
          <w:p>
            <w:r>
              <w:rPr>
                <w:b w:val="false"/>
                <w:bCs w:val="false"/>
              </w:rPr>
              <w:t xml:space="preserve">v1</w:t>
            </w:r>
          </w:p>
        </w:tc>
        <w:tc>
          <w:tcPr>
            <w:tcW w:type="dxa" w:w="2200"/>
            <w:tcMar>
              <w:top w:type="dxa" w:w="80"/>
              <w:left w:type="dxa" w:w="100"/>
              <w:bottom w:type="dxa" w:w="80"/>
              <w:right w:type="dxa" w:w="100"/>
            </w:tcMar>
          </w:tcPr>
          <w:p>
            <w:r>
              <w:rPr>
                <w:b w:val="false"/>
                <w:bCs w:val="false"/>
              </w:rPr>
              <w:t xml:space="preserve">3 runs</w:t>
            </w:r>
          </w:p>
        </w:tc>
        <w:tc>
          <w:tcPr>
            <w:tcW w:type="dxa" w:w="3660"/>
            <w:tcMar>
              <w:top w:type="dxa" w:w="80"/>
              <w:left w:type="dxa" w:w="100"/>
              <w:bottom w:type="dxa" w:w="80"/>
              <w:right w:type="dxa" w:w="100"/>
            </w:tcMar>
          </w:tcPr>
          <w:p>
            <w:r>
              <w:rPr>
                <w:b w:val="false"/>
                <w:bCs w:val="false"/>
              </w:rPr>
              <w:t xml:space="preserve">Base second-reviewer prompt. Schema requests extraction_confidence only.</w:t>
            </w:r>
          </w:p>
        </w:tc>
        <w:tc>
          <w:tcPr>
            <w:tcW w:type="dxa" w:w="2000"/>
            <w:tcMar>
              <w:top w:type="dxa" w:w="80"/>
              <w:left w:type="dxa" w:w="100"/>
              <w:bottom w:type="dxa" w:w="80"/>
              <w:right w:type="dxa" w:w="100"/>
            </w:tcMar>
          </w:tcPr>
          <w:p>
            <w:r>
              <w:rPr>
                <w:b w:val="false"/>
                <w:bCs w:val="false"/>
              </w:rPr>
              <w:t xml:space="preserve">Recovered verbatim</w:t>
            </w:r>
          </w:p>
        </w:tc>
      </w:tr>
      <w:tr>
        <w:tc>
          <w:tcPr>
            <w:tcW w:type="dxa" w:w="1400"/>
            <w:tcMar>
              <w:top w:type="dxa" w:w="80"/>
              <w:left w:type="dxa" w:w="100"/>
              <w:bottom w:type="dxa" w:w="80"/>
              <w:right w:type="dxa" w:w="100"/>
            </w:tcMar>
          </w:tcPr>
          <w:p>
            <w:r>
              <w:rPr>
                <w:b w:val="false"/>
                <w:bCs w:val="false"/>
              </w:rPr>
              <w:t xml:space="preserve">Design B</w:t>
            </w:r>
          </w:p>
        </w:tc>
        <w:tc>
          <w:tcPr>
            <w:tcW w:type="dxa" w:w="1800"/>
            <w:tcMar>
              <w:top w:type="dxa" w:w="80"/>
              <w:left w:type="dxa" w:w="100"/>
              <w:bottom w:type="dxa" w:w="80"/>
              <w:right w:type="dxa" w:w="100"/>
            </w:tcMar>
          </w:tcPr>
          <w:p>
            <w:r>
              <w:rPr>
                <w:b w:val="false"/>
                <w:bCs w:val="false"/>
              </w:rPr>
              <w:t xml:space="preserve">v2</w:t>
            </w:r>
          </w:p>
        </w:tc>
        <w:tc>
          <w:tcPr>
            <w:tcW w:type="dxa" w:w="2200"/>
            <w:tcMar>
              <w:top w:type="dxa" w:w="80"/>
              <w:left w:type="dxa" w:w="100"/>
              <w:bottom w:type="dxa" w:w="80"/>
              <w:right w:type="dxa" w:w="100"/>
            </w:tcMar>
          </w:tcPr>
          <w:p>
            <w:r>
              <w:rPr>
                <w:b w:val="false"/>
                <w:bCs w:val="false"/>
              </w:rPr>
              <w:t xml:space="preserve">5 runs</w:t>
            </w:r>
          </w:p>
        </w:tc>
        <w:tc>
          <w:tcPr>
            <w:tcW w:type="dxa" w:w="3660"/>
            <w:tcMar>
              <w:top w:type="dxa" w:w="80"/>
              <w:left w:type="dxa" w:w="100"/>
              <w:bottom w:type="dxa" w:w="80"/>
              <w:right w:type="dxa" w:w="100"/>
            </w:tcMar>
          </w:tcPr>
          <w:p>
            <w:r>
              <w:rPr>
                <w:b w:val="false"/>
                <w:bCs w:val="false"/>
              </w:rPr>
              <w:t xml:space="preserve">Added sourcing_basis and data_quality_flag schema fields, plus two explicit task instructions directing the model to state its sourcing basis and flag data-quality anomalies (Task items 2–3 below); prompt task text is not identical to v1.</w:t>
            </w:r>
          </w:p>
        </w:tc>
        <w:tc>
          <w:tcPr>
            <w:tcW w:type="dxa" w:w="2000"/>
            <w:tcMar>
              <w:top w:type="dxa" w:w="80"/>
              <w:left w:type="dxa" w:w="100"/>
              <w:bottom w:type="dxa" w:w="80"/>
              <w:right w:type="dxa" w:w="100"/>
            </w:tcMar>
          </w:tcPr>
          <w:p>
            <w:r>
              <w:rPr>
                <w:b w:val="false"/>
                <w:bCs w:val="false"/>
              </w:rPr>
              <w:t xml:space="preserve">Recovered verbatim</w:t>
            </w:r>
          </w:p>
        </w:tc>
      </w:tr>
    </w:tbl>
    <w:p>
      <w:pPr>
        <w:pStyle w:val="Heading1"/>
        <w:spacing w:after="140" w:before="320"/>
      </w:pPr>
      <w:r>
        <w:t xml:space="preserve">Shared setup notes (apply to both designs)</w:t>
      </w:r>
    </w:p>
    <w:p>
      <w:pPr>
        <w:pStyle w:val="ListParagraph"/>
        <w:numPr>
          <w:ilvl w:val="0"/>
          <w:numId w:val="2"/>
        </w:numPr>
        <w:spacing w:after="80"/>
      </w:pPr>
      <w:r>
        <w:t xml:space="preserve">Run each prompt 3–5 times independently per paper (fresh conversation each time, no shared context across runs) to characterize output variability.</w:t>
      </w:r>
    </w:p>
    <w:p>
      <w:pPr>
        <w:pStyle w:val="ListParagraph"/>
        <w:numPr>
          <w:ilvl w:val="0"/>
          <w:numId w:val="2"/>
        </w:numPr>
        <w:spacing w:after="80"/>
      </w:pPr>
      <w:r>
        <w:t xml:space="preserve">Record: model name + version string, access date, temperature/decoding settings, and whether retrieval/search tools were enabled for that run.</w:t>
      </w:r>
    </w:p>
    <w:p>
      <w:pPr>
        <w:pStyle w:val="ListParagraph"/>
        <w:numPr>
          <w:ilvl w:val="0"/>
          <w:numId w:val="2"/>
        </w:numPr>
        <w:spacing w:after="80"/>
      </w:pPr>
      <w:r>
        <w:t xml:space="preserve">If the model has live retrieval tools enabled, add an explicit tool-use constraint (see Design A v2 below) restricting retrieval to the cutoff date — do not rely on the prompt text alone to enforce this if the tool itself can return newer results.</w:t>
      </w:r>
    </w:p>
    <w:p>
      <w:pPr>
        <w:pStyle w:val="ListParagraph"/>
        <w:numPr>
          <w:ilvl w:val="0"/>
          <w:numId w:val="2"/>
        </w:numPr>
        <w:spacing w:after="80"/>
      </w:pPr>
      <w:r>
        <w:t xml:space="preserve">Ask for structured output (JSON schema given below) rather than free prose, so scoring against Section 4 metrics can be semi-automated and so a human reviewer isn’t extracting numbers back out of paragraphs.</w:t>
      </w:r>
    </w:p>
    <w:p>
      <w:pPr>
        <w:pStyle w:val="Heading1"/>
        <w:spacing w:after="140" w:before="320"/>
      </w:pPr>
      <w:r>
        <w:t xml:space="preserve">Design A — v1: Autonomous Replication Prompt (Round 1, no retrieval)</w:t>
      </w:r>
    </w:p>
    <w:p>
      <w:pPr>
        <w:spacing w:after="160"/>
      </w:pPr>
      <w:r>
        <w:rPr>
          <w:i/>
          <w:iCs/>
        </w:rPr>
        <w:t xml:space="preserve">Used for the 3 no-retrieval runs reported in Results 3.3. Cutoff filled as 2019-12-31 — later than the target review’s precise 2019-07-25 search-closure date; see Limitations (Section 5) for the consequence of this discrepancy.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2F2F2" w:val="clear"/>
            <w:tcMar>
              <w:top w:type="dxa" w:w="150"/>
              <w:left w:type="dxa" w:w="150"/>
              <w:bottom w:type="dxa" w:w="150"/>
              <w:right w:type="dxa" w:w="150"/>
            </w:tcMar>
          </w:tcPr>
          <w:p>
            <w:pPr>
              <w:spacing w:after="0"/>
            </w:pPr>
            <w:r>
              <w:rPr>
                <w:rFonts w:ascii="Consolas" w:cs="Consolas" w:eastAsia="Consolas" w:hAnsi="Consolas"/>
                <w:sz w:val="18"/>
                <w:szCs w:val="18"/>
              </w:rPr>
              <w:t xml:space="preserve">You are conducting an independent systematic review and meta-analysis to answer</w:t>
            </w:r>
          </w:p>
          <w:p>
            <w:pPr>
              <w:spacing w:after="0"/>
            </w:pPr>
            <w:r>
              <w:rPr>
                <w:rFonts w:ascii="Consolas" w:cs="Consolas" w:eastAsia="Consolas" w:hAnsi="Consolas"/>
                <w:sz w:val="18"/>
                <w:szCs w:val="18"/>
              </w:rPr>
              <w:t xml:space="preserve">the following clinical question. Follow standard systematic review methodology</w:t>
            </w:r>
          </w:p>
          <w:p>
            <w:pPr>
              <w:spacing w:after="0"/>
            </w:pPr>
            <w:r>
              <w:rPr>
                <w:rFonts w:ascii="Consolas" w:cs="Consolas" w:eastAsia="Consolas" w:hAnsi="Consolas"/>
                <w:sz w:val="18"/>
                <w:szCs w:val="18"/>
              </w:rPr>
              <w:t xml:space="preserve">(PICO framing, PRISMA-style reporting) as a single reviewer would.</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RESEARCH QUESTION (PICO):</w:t>
            </w:r>
          </w:p>
          <w:p>
            <w:pPr>
              <w:spacing w:after="0"/>
            </w:pPr>
            <w:r>
              <w:rPr>
                <w:rFonts w:ascii="Consolas" w:cs="Consolas" w:eastAsia="Consolas" w:hAnsi="Consolas"/>
                <w:sz w:val="18"/>
                <w:szCs w:val="18"/>
              </w:rPr>
              <w:t xml:space="preserve">Population: Adults with ST-elevation myocardial infarction (STEMI) without</w:t>
            </w:r>
          </w:p>
          <w:p>
            <w:pPr>
              <w:spacing w:after="0"/>
            </w:pPr>
            <w:r>
              <w:rPr>
                <w:rFonts w:ascii="Consolas" w:cs="Consolas" w:eastAsia="Consolas" w:hAnsi="Consolas"/>
                <w:sz w:val="18"/>
                <w:szCs w:val="18"/>
              </w:rPr>
              <w:t xml:space="preserve">  cardiogenic shock and with multivessel coronary artery disease</w:t>
            </w:r>
          </w:p>
          <w:p>
            <w:pPr>
              <w:spacing w:after="0"/>
            </w:pPr>
            <w:r>
              <w:rPr>
                <w:rFonts w:ascii="Consolas" w:cs="Consolas" w:eastAsia="Consolas" w:hAnsi="Consolas"/>
                <w:sz w:val="18"/>
                <w:szCs w:val="18"/>
              </w:rPr>
              <w:t xml:space="preserve">Intervention: Multivessel percutaneous coronary intervention (PCI), performed</w:t>
            </w:r>
          </w:p>
          <w:p>
            <w:pPr>
              <w:spacing w:after="0"/>
            </w:pPr>
            <w:r>
              <w:rPr>
                <w:rFonts w:ascii="Consolas" w:cs="Consolas" w:eastAsia="Consolas" w:hAnsi="Consolas"/>
                <w:sz w:val="18"/>
                <w:szCs w:val="18"/>
              </w:rPr>
              <w:t xml:space="preserve">  either immediately during the index procedure or staged within 2 months of</w:t>
            </w:r>
          </w:p>
          <w:p>
            <w:pPr>
              <w:spacing w:after="0"/>
            </w:pPr>
            <w:r>
              <w:rPr>
                <w:rFonts w:ascii="Consolas" w:cs="Consolas" w:eastAsia="Consolas" w:hAnsi="Consolas"/>
                <w:sz w:val="18"/>
                <w:szCs w:val="18"/>
              </w:rPr>
              <w:t xml:space="preserve">  culprit-vessel PCI</w:t>
            </w:r>
          </w:p>
          <w:p>
            <w:pPr>
              <w:spacing w:after="0"/>
            </w:pPr>
            <w:r>
              <w:rPr>
                <w:rFonts w:ascii="Consolas" w:cs="Consolas" w:eastAsia="Consolas" w:hAnsi="Consolas"/>
                <w:sz w:val="18"/>
                <w:szCs w:val="18"/>
              </w:rPr>
              <w:t xml:space="preserve">Comparator: Culprit vessel-only PCI</w:t>
            </w:r>
          </w:p>
          <w:p>
            <w:pPr>
              <w:spacing w:after="0"/>
            </w:pPr>
            <w:r>
              <w:rPr>
                <w:rFonts w:ascii="Consolas" w:cs="Consolas" w:eastAsia="Consolas" w:hAnsi="Consolas"/>
                <w:sz w:val="18"/>
                <w:szCs w:val="18"/>
              </w:rPr>
              <w:t xml:space="preserve">Outcome(s): All-cause mortality, cardiovascular death, non-fatal myocardial</w:t>
            </w:r>
          </w:p>
          <w:p>
            <w:pPr>
              <w:spacing w:after="0"/>
            </w:pPr>
            <w:r>
              <w:rPr>
                <w:rFonts w:ascii="Consolas" w:cs="Consolas" w:eastAsia="Consolas" w:hAnsi="Consolas"/>
                <w:sz w:val="18"/>
                <w:szCs w:val="18"/>
              </w:rPr>
              <w:t xml:space="preserve">  reinfarction, and the composite of death or non-fatal reinfarction, at 6</w:t>
            </w:r>
          </w:p>
          <w:p>
            <w:pPr>
              <w:spacing w:after="0"/>
            </w:pPr>
            <w:r>
              <w:rPr>
                <w:rFonts w:ascii="Consolas" w:cs="Consolas" w:eastAsia="Consolas" w:hAnsi="Consolas"/>
                <w:sz w:val="18"/>
                <w:szCs w:val="18"/>
              </w:rPr>
              <w:t xml:space="preserve">  months or later following randomization</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CRITICAL CONSTRAINT — LITERATURE CUTOFF:</w:t>
            </w:r>
          </w:p>
          <w:p>
            <w:pPr>
              <w:spacing w:after="0"/>
            </w:pPr>
            <w:r>
              <w:rPr>
                <w:rFonts w:ascii="Consolas" w:cs="Consolas" w:eastAsia="Consolas" w:hAnsi="Consolas"/>
                <w:sz w:val="18"/>
                <w:szCs w:val="18"/>
              </w:rPr>
              <w:t xml:space="preserve">Restrict your review to peer-reviewed literature published on or before</w:t>
            </w:r>
          </w:p>
          <w:p>
            <w:pPr>
              <w:spacing w:after="0"/>
            </w:pPr>
            <w:r>
              <w:rPr>
                <w:rFonts w:ascii="Consolas" w:cs="Consolas" w:eastAsia="Consolas" w:hAnsi="Consolas"/>
                <w:sz w:val="18"/>
                <w:szCs w:val="18"/>
              </w:rPr>
              <w:t xml:space="preserve">2019-12-31. Do not include, reference, or let your synthesis be influenced by</w:t>
            </w:r>
          </w:p>
          <w:p>
            <w:pPr>
              <w:spacing w:after="0"/>
            </w:pPr>
            <w:r>
              <w:rPr>
                <w:rFonts w:ascii="Consolas" w:cs="Consolas" w:eastAsia="Consolas" w:hAnsi="Consolas"/>
                <w:sz w:val="18"/>
                <w:szCs w:val="18"/>
              </w:rPr>
              <w:t xml:space="preserve">any study, guideline, or finding you know of that was published after this</w:t>
            </w:r>
          </w:p>
          <w:p>
            <w:pPr>
              <w:spacing w:after="0"/>
            </w:pPr>
            <w:r>
              <w:rPr>
                <w:rFonts w:ascii="Consolas" w:cs="Consolas" w:eastAsia="Consolas" w:hAnsi="Consolas"/>
                <w:sz w:val="18"/>
                <w:szCs w:val="18"/>
              </w:rPr>
              <w:t xml:space="preserve">date, even if you are otherwise aware of it. If you are uncertain whether a</w:t>
            </w:r>
          </w:p>
          <w:p>
            <w:pPr>
              <w:spacing w:after="0"/>
            </w:pPr>
            <w:r>
              <w:rPr>
                <w:rFonts w:ascii="Consolas" w:cs="Consolas" w:eastAsia="Consolas" w:hAnsi="Consolas"/>
                <w:sz w:val="18"/>
                <w:szCs w:val="18"/>
              </w:rPr>
              <w:t xml:space="preserve">study you recall was published before or after this date, exclude it and note</w:t>
            </w:r>
          </w:p>
          <w:p>
            <w:pPr>
              <w:spacing w:after="0"/>
            </w:pPr>
            <w:r>
              <w:rPr>
                <w:rFonts w:ascii="Consolas" w:cs="Consolas" w:eastAsia="Consolas" w:hAnsi="Consolas"/>
                <w:sz w:val="18"/>
                <w:szCs w:val="18"/>
              </w:rPr>
              <w:t xml:space="preserve">the uncertainty rather than guess.</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TASK:</w:t>
            </w:r>
          </w:p>
          <w:p>
            <w:pPr>
              <w:spacing w:after="0"/>
            </w:pPr>
            <w:r>
              <w:rPr>
                <w:rFonts w:ascii="Consolas" w:cs="Consolas" w:eastAsia="Consolas" w:hAnsi="Consolas"/>
                <w:sz w:val="18"/>
                <w:szCs w:val="18"/>
              </w:rPr>
              <w:t xml:space="preserve">1. Identify the studies you would include in this review, applying standard</w:t>
            </w:r>
          </w:p>
          <w:p>
            <w:pPr>
              <w:spacing w:after="0"/>
            </w:pPr>
            <w:r>
              <w:rPr>
                <w:rFonts w:ascii="Consolas" w:cs="Consolas" w:eastAsia="Consolas" w:hAnsi="Consolas"/>
                <w:sz w:val="18"/>
                <w:szCs w:val="18"/>
              </w:rPr>
              <w:t xml:space="preserve">   systematic review inclusion/exclusion judgment to the PICO above.</w:t>
            </w:r>
          </w:p>
          <w:p>
            <w:pPr>
              <w:spacing w:after="0"/>
            </w:pPr>
            <w:r>
              <w:rPr>
                <w:rFonts w:ascii="Consolas" w:cs="Consolas" w:eastAsia="Consolas" w:hAnsi="Consolas"/>
                <w:sz w:val="18"/>
                <w:szCs w:val="18"/>
              </w:rPr>
              <w:t xml:space="preserve">2. For each included study, extract: first author, publication year, journal,</w:t>
            </w:r>
          </w:p>
          <w:p>
            <w:pPr>
              <w:spacing w:after="0"/>
            </w:pPr>
            <w:r>
              <w:rPr>
                <w:rFonts w:ascii="Consolas" w:cs="Consolas" w:eastAsia="Consolas" w:hAnsi="Consolas"/>
                <w:sz w:val="18"/>
                <w:szCs w:val="18"/>
              </w:rPr>
              <w:t xml:space="preserve">   study design, sample size (per arm if applicable), and the specific</w:t>
            </w:r>
          </w:p>
          <w:p>
            <w:pPr>
              <w:spacing w:after="0"/>
            </w:pPr>
            <w:r>
              <w:rPr>
                <w:rFonts w:ascii="Consolas" w:cs="Consolas" w:eastAsia="Consolas" w:hAnsi="Consolas"/>
                <w:sz w:val="18"/>
                <w:szCs w:val="18"/>
              </w:rPr>
              <w:t xml:space="preserve">   outcome data relevant to the question above.</w:t>
            </w:r>
          </w:p>
          <w:p>
            <w:pPr>
              <w:spacing w:after="0"/>
            </w:pPr>
            <w:r>
              <w:rPr>
                <w:rFonts w:ascii="Consolas" w:cs="Consolas" w:eastAsia="Consolas" w:hAnsi="Consolas"/>
                <w:sz w:val="18"/>
                <w:szCs w:val="18"/>
              </w:rPr>
              <w:t xml:space="preserve">3. Synthesize the evidence: provide a qualitative summary, and if the</w:t>
            </w:r>
          </w:p>
          <w:p>
            <w:pPr>
              <w:spacing w:after="0"/>
            </w:pPr>
            <w:r>
              <w:rPr>
                <w:rFonts w:ascii="Consolas" w:cs="Consolas" w:eastAsia="Consolas" w:hAnsi="Consolas"/>
                <w:sz w:val="18"/>
                <w:szCs w:val="18"/>
              </w:rPr>
              <w:t xml:space="preserve">   included studies permit it, a quantitative pooled estimate (state the</w:t>
            </w:r>
          </w:p>
          <w:p>
            <w:pPr>
              <w:spacing w:after="0"/>
            </w:pPr>
            <w:r>
              <w:rPr>
                <w:rFonts w:ascii="Consolas" w:cs="Consolas" w:eastAsia="Consolas" w:hAnsi="Consolas"/>
                <w:sz w:val="18"/>
                <w:szCs w:val="18"/>
              </w:rPr>
              <w:t xml:space="preserve">   effect measure, e.g. RR/OR/MD, the pooled estimate, 95% CI, and which</w:t>
            </w:r>
          </w:p>
          <w:p>
            <w:pPr>
              <w:spacing w:after="0"/>
            </w:pPr>
            <w:r>
              <w:rPr>
                <w:rFonts w:ascii="Consolas" w:cs="Consolas" w:eastAsia="Consolas" w:hAnsi="Consolas"/>
                <w:sz w:val="18"/>
                <w:szCs w:val="18"/>
              </w:rPr>
              <w:t xml:space="preserve">   meta-analytic method you used and why, e.g. fixed- vs random-effects).</w:t>
            </w:r>
          </w:p>
          <w:p>
            <w:pPr>
              <w:spacing w:after="0"/>
            </w:pPr>
            <w:r>
              <w:rPr>
                <w:rFonts w:ascii="Consolas" w:cs="Consolas" w:eastAsia="Consolas" w:hAnsi="Consolas"/>
                <w:sz w:val="18"/>
                <w:szCs w:val="18"/>
              </w:rPr>
              <w:t xml:space="preserve">4. State your overall conclusion regarding the research question in</w:t>
            </w:r>
          </w:p>
          <w:p>
            <w:pPr>
              <w:spacing w:after="0"/>
            </w:pPr>
            <w:r>
              <w:rPr>
                <w:rFonts w:ascii="Consolas" w:cs="Consolas" w:eastAsia="Consolas" w:hAnsi="Consolas"/>
                <w:sz w:val="18"/>
                <w:szCs w:val="18"/>
              </w:rPr>
              <w:t xml:space="preserve">   2-3 sentences, calibrated to the strength/consistency of the evidence</w:t>
            </w:r>
          </w:p>
          <w:p>
            <w:pPr>
              <w:spacing w:after="0"/>
            </w:pPr>
            <w:r>
              <w:rPr>
                <w:rFonts w:ascii="Consolas" w:cs="Consolas" w:eastAsia="Consolas" w:hAnsi="Consolas"/>
                <w:sz w:val="18"/>
                <w:szCs w:val="18"/>
              </w:rPr>
              <w:t xml:space="preserve">   you found.</w:t>
            </w:r>
          </w:p>
          <w:p>
            <w:pPr>
              <w:spacing w:after="0"/>
            </w:pPr>
            <w:r>
              <w:rPr>
                <w:rFonts w:ascii="Consolas" w:cs="Consolas" w:eastAsia="Consolas" w:hAnsi="Consolas"/>
                <w:sz w:val="18"/>
                <w:szCs w:val="18"/>
              </w:rPr>
              <w:t xml:space="preserve">5. Provide a complete reference list, Vancouver style, for every study</w:t>
            </w:r>
          </w:p>
          <w:p>
            <w:pPr>
              <w:spacing w:after="0"/>
            </w:pPr>
            <w:r>
              <w:rPr>
                <w:rFonts w:ascii="Consolas" w:cs="Consolas" w:eastAsia="Consolas" w:hAnsi="Consolas"/>
                <w:sz w:val="18"/>
                <w:szCs w:val="18"/>
              </w:rPr>
              <w:t xml:space="preserve">   you cited above.</w:t>
            </w:r>
          </w:p>
          <w:p>
            <w:pPr>
              <w:spacing w:after="0"/>
            </w:pPr>
            <w:r>
              <w:rPr>
                <w:rFonts w:ascii="Consolas" w:cs="Consolas" w:eastAsia="Consolas" w:hAnsi="Consolas"/>
                <w:sz w:val="18"/>
                <w:szCs w:val="18"/>
              </w:rPr>
              <w:t xml:space="preserve">6. Explicitly flag: (a) any study where your inclusion/exclusion judgment</w:t>
            </w:r>
          </w:p>
          <w:p>
            <w:pPr>
              <w:spacing w:after="0"/>
            </w:pPr>
            <w:r>
              <w:rPr>
                <w:rFonts w:ascii="Consolas" w:cs="Consolas" w:eastAsia="Consolas" w:hAnsi="Consolas"/>
                <w:sz w:val="18"/>
                <w:szCs w:val="18"/>
              </w:rPr>
              <w:t xml:space="preserve">   was a close call, (b) any effect estimate you are not fully confident</w:t>
            </w:r>
          </w:p>
          <w:p>
            <w:pPr>
              <w:spacing w:after="0"/>
            </w:pPr>
            <w:r>
              <w:rPr>
                <w:rFonts w:ascii="Consolas" w:cs="Consolas" w:eastAsia="Consolas" w:hAnsi="Consolas"/>
                <w:sz w:val="18"/>
                <w:szCs w:val="18"/>
              </w:rPr>
              <w:t xml:space="preserve">   in, and (c) any point in this task where you are uncertain rather than</w:t>
            </w:r>
          </w:p>
          <w:p>
            <w:pPr>
              <w:spacing w:after="0"/>
            </w:pPr>
            <w:r>
              <w:rPr>
                <w:rFonts w:ascii="Consolas" w:cs="Consolas" w:eastAsia="Consolas" w:hAnsi="Consolas"/>
                <w:sz w:val="18"/>
                <w:szCs w:val="18"/>
              </w:rPr>
              <w:t xml:space="preserve">   presenting false confidence.</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OUTPUT FORMAT — respond with a single JSON object matching this schema:</w:t>
            </w:r>
          </w:p>
          <w:p>
            <w:pPr>
              <w:spacing w:after="0"/>
            </w:pPr>
            <w:r>
              <w:rPr>
                <w:rFonts w:ascii="Consolas" w:cs="Consolas" w:eastAsia="Consolas" w:hAnsi="Consolas"/>
                <w:sz w:val="18"/>
                <w:szCs w:val="18"/>
              </w:rPr>
              <w:t xml:space="preserve">{</w:t>
            </w:r>
          </w:p>
          <w:p>
            <w:pPr>
              <w:spacing w:after="0"/>
            </w:pPr>
            <w:r>
              <w:rPr>
                <w:rFonts w:ascii="Consolas" w:cs="Consolas" w:eastAsia="Consolas" w:hAnsi="Consolas"/>
                <w:sz w:val="18"/>
                <w:szCs w:val="18"/>
              </w:rPr>
              <w:t xml:space="preserve">  "included_studies": [</w:t>
            </w:r>
          </w:p>
          <w:p>
            <w:pPr>
              <w:spacing w:after="0"/>
            </w:pPr>
            <w:r>
              <w:rPr>
                <w:rFonts w:ascii="Consolas" w:cs="Consolas" w:eastAsia="Consolas" w:hAnsi="Consolas"/>
                <w:sz w:val="18"/>
                <w:szCs w:val="18"/>
              </w:rPr>
              <w:t xml:space="preserve">    { "first_author": "", "year": 0, "journal": "", "design": "",</w:t>
            </w:r>
          </w:p>
          <w:p>
            <w:pPr>
              <w:spacing w:after="0"/>
            </w:pPr>
            <w:r>
              <w:rPr>
                <w:rFonts w:ascii="Consolas" w:cs="Consolas" w:eastAsia="Consolas" w:hAnsi="Consolas"/>
                <w:sz w:val="18"/>
                <w:szCs w:val="18"/>
              </w:rPr>
              <w:t xml:space="preserve">      "n_total": 0, "outcome_data": "" }</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  "pooled_effect": { "measure": "", "estimate": 0.0, "ci_lower": 0.0,</w:t>
            </w:r>
          </w:p>
          <w:p>
            <w:pPr>
              <w:spacing w:after="0"/>
            </w:pPr>
            <w:r>
              <w:rPr>
                <w:rFonts w:ascii="Consolas" w:cs="Consolas" w:eastAsia="Consolas" w:hAnsi="Consolas"/>
                <w:sz w:val="18"/>
                <w:szCs w:val="18"/>
              </w:rPr>
              <w:t xml:space="preserve">                    "ci_upper": 0.0, "method": "" },</w:t>
            </w:r>
          </w:p>
          <w:p>
            <w:pPr>
              <w:spacing w:after="0"/>
            </w:pPr>
            <w:r>
              <w:rPr>
                <w:rFonts w:ascii="Consolas" w:cs="Consolas" w:eastAsia="Consolas" w:hAnsi="Consolas"/>
                <w:sz w:val="18"/>
                <w:szCs w:val="18"/>
              </w:rPr>
              <w:t xml:space="preserve">  "conclusion": "",</w:t>
            </w:r>
          </w:p>
          <w:p>
            <w:pPr>
              <w:spacing w:after="0"/>
            </w:pPr>
            <w:r>
              <w:rPr>
                <w:rFonts w:ascii="Consolas" w:cs="Consolas" w:eastAsia="Consolas" w:hAnsi="Consolas"/>
                <w:sz w:val="18"/>
                <w:szCs w:val="18"/>
              </w:rPr>
              <w:t xml:space="preserve">  "flagged_uncertainties": [""],</w:t>
            </w:r>
          </w:p>
          <w:p>
            <w:pPr>
              <w:spacing w:after="0"/>
            </w:pPr>
            <w:r>
              <w:rPr>
                <w:rFonts w:ascii="Consolas" w:cs="Consolas" w:eastAsia="Consolas" w:hAnsi="Consolas"/>
                <w:sz w:val="18"/>
                <w:szCs w:val="18"/>
              </w:rPr>
              <w:t xml:space="preserve">  "reference_list": [""]</w:t>
            </w:r>
          </w:p>
          <w:p>
            <w:pPr>
              <w:spacing w:after="0"/>
            </w:pPr>
            <w:r>
              <w:rPr>
                <w:rFonts w:ascii="Consolas" w:cs="Consolas" w:eastAsia="Consolas" w:hAnsi="Consolas"/>
                <w:sz w:val="18"/>
                <w:szCs w:val="18"/>
              </w:rPr>
              <w:t xml:space="preserve">}</w:t>
            </w:r>
          </w:p>
          <w:p>
            <w:pPr>
              <w:spacing w:after="0"/>
            </w:pPr>
            <w:r>
              <w:rPr>
                <w:rFonts w:ascii="Consolas" w:cs="Consolas" w:eastAsia="Consolas" w:hAnsi="Consolas"/>
                <w:sz w:val="18"/>
                <w:szCs w:val="18"/>
              </w:rPr>
              <w:t xml:space="preserve">If no quantitative pooling is possible, set "pooled_effect" fields to null</w:t>
            </w:r>
          </w:p>
          <w:p>
            <w:pPr>
              <w:spacing w:after="0"/>
            </w:pPr>
            <w:r>
              <w:rPr>
                <w:rFonts w:ascii="Consolas" w:cs="Consolas" w:eastAsia="Consolas" w:hAnsi="Consolas"/>
                <w:sz w:val="18"/>
                <w:szCs w:val="18"/>
              </w:rPr>
              <w:t xml:space="preserve">and explain why in "conclusion".</w:t>
            </w:r>
          </w:p>
        </w:tc>
      </w:tr>
    </w:tbl>
    <w:p>
      <w:pPr>
        <w:pStyle w:val="Heading1"/>
        <w:spacing w:after="140" w:before="320"/>
      </w:pPr>
      <w:r>
        <w:t xml:space="preserve">Design A — v2: Autonomous Replication Prompt, Retrieval-Enabled (Round 3)</w:t>
      </w:r>
    </w:p>
    <w:p>
      <w:pPr>
        <w:spacing w:after="160"/>
      </w:pPr>
      <w:r>
        <w:rPr>
          <w:i/>
          <w:iCs/>
        </w:rPr>
        <w:t xml:space="preserve">Used for the 5 retrieval-enabled runs reported in Results 3.4 / Table 2. Cutoff corrected to 2019-07-25. Adds an explicit search-tool instruction and two new output fields (tool_use, searches_performed).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2F2F2" w:val="clear"/>
            <w:tcMar>
              <w:top w:type="dxa" w:w="150"/>
              <w:left w:type="dxa" w:w="150"/>
              <w:bottom w:type="dxa" w:w="150"/>
              <w:right w:type="dxa" w:w="150"/>
            </w:tcMar>
          </w:tcPr>
          <w:p>
            <w:pPr>
              <w:spacing w:after="0"/>
            </w:pPr>
            <w:r>
              <w:rPr>
                <w:rFonts w:ascii="Consolas" w:cs="Consolas" w:eastAsia="Consolas" w:hAnsi="Consolas"/>
                <w:sz w:val="18"/>
                <w:szCs w:val="18"/>
              </w:rPr>
              <w:t xml:space="preserve">You are conducting an independent systematic review and meta-analysis to answer</w:t>
            </w:r>
          </w:p>
          <w:p>
            <w:pPr>
              <w:spacing w:after="0"/>
            </w:pPr>
            <w:r>
              <w:rPr>
                <w:rFonts w:ascii="Consolas" w:cs="Consolas" w:eastAsia="Consolas" w:hAnsi="Consolas"/>
                <w:sz w:val="18"/>
                <w:szCs w:val="18"/>
              </w:rPr>
              <w:t xml:space="preserve">the following clinical question. Follow standard systematic review methodology</w:t>
            </w:r>
          </w:p>
          <w:p>
            <w:pPr>
              <w:spacing w:after="0"/>
            </w:pPr>
            <w:r>
              <w:rPr>
                <w:rFonts w:ascii="Consolas" w:cs="Consolas" w:eastAsia="Consolas" w:hAnsi="Consolas"/>
                <w:sz w:val="18"/>
                <w:szCs w:val="18"/>
              </w:rPr>
              <w:t xml:space="preserve">(PICO framing, PRISMA-style reporting) as a single reviewer would.</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RESEARCH QUESTION (PICO):</w:t>
            </w:r>
          </w:p>
          <w:p>
            <w:pPr>
              <w:spacing w:after="0"/>
            </w:pPr>
            <w:r>
              <w:rPr>
                <w:rFonts w:ascii="Consolas" w:cs="Consolas" w:eastAsia="Consolas" w:hAnsi="Consolas"/>
                <w:sz w:val="18"/>
                <w:szCs w:val="18"/>
              </w:rPr>
              <w:t xml:space="preserve">Population: Adults with ST-elevation myocardial infarction (STEMI) without</w:t>
            </w:r>
          </w:p>
          <w:p>
            <w:pPr>
              <w:spacing w:after="0"/>
            </w:pPr>
            <w:r>
              <w:rPr>
                <w:rFonts w:ascii="Consolas" w:cs="Consolas" w:eastAsia="Consolas" w:hAnsi="Consolas"/>
                <w:sz w:val="18"/>
                <w:szCs w:val="18"/>
              </w:rPr>
              <w:t xml:space="preserve">  cardiogenic shock and with multivessel coronary artery disease</w:t>
            </w:r>
          </w:p>
          <w:p>
            <w:pPr>
              <w:spacing w:after="0"/>
            </w:pPr>
            <w:r>
              <w:rPr>
                <w:rFonts w:ascii="Consolas" w:cs="Consolas" w:eastAsia="Consolas" w:hAnsi="Consolas"/>
                <w:sz w:val="18"/>
                <w:szCs w:val="18"/>
              </w:rPr>
              <w:t xml:space="preserve">Intervention: Multivessel percutaneous coronary intervention (PCI), performed</w:t>
            </w:r>
          </w:p>
          <w:p>
            <w:pPr>
              <w:spacing w:after="0"/>
            </w:pPr>
            <w:r>
              <w:rPr>
                <w:rFonts w:ascii="Consolas" w:cs="Consolas" w:eastAsia="Consolas" w:hAnsi="Consolas"/>
                <w:sz w:val="18"/>
                <w:szCs w:val="18"/>
              </w:rPr>
              <w:t xml:space="preserve">  either immediately during the index procedure or staged within 2 months of</w:t>
            </w:r>
          </w:p>
          <w:p>
            <w:pPr>
              <w:spacing w:after="0"/>
            </w:pPr>
            <w:r>
              <w:rPr>
                <w:rFonts w:ascii="Consolas" w:cs="Consolas" w:eastAsia="Consolas" w:hAnsi="Consolas"/>
                <w:sz w:val="18"/>
                <w:szCs w:val="18"/>
              </w:rPr>
              <w:t xml:space="preserve">  culprit-vessel PCI</w:t>
            </w:r>
          </w:p>
          <w:p>
            <w:pPr>
              <w:spacing w:after="0"/>
            </w:pPr>
            <w:r>
              <w:rPr>
                <w:rFonts w:ascii="Consolas" w:cs="Consolas" w:eastAsia="Consolas" w:hAnsi="Consolas"/>
                <w:sz w:val="18"/>
                <w:szCs w:val="18"/>
              </w:rPr>
              <w:t xml:space="preserve">Comparator: Culprit vessel-only PCI</w:t>
            </w:r>
          </w:p>
          <w:p>
            <w:pPr>
              <w:spacing w:after="0"/>
            </w:pPr>
            <w:r>
              <w:rPr>
                <w:rFonts w:ascii="Consolas" w:cs="Consolas" w:eastAsia="Consolas" w:hAnsi="Consolas"/>
                <w:sz w:val="18"/>
                <w:szCs w:val="18"/>
              </w:rPr>
              <w:t xml:space="preserve">Outcome(s): All-cause mortality, cardiovascular death, non-fatal myocardial</w:t>
            </w:r>
          </w:p>
          <w:p>
            <w:pPr>
              <w:spacing w:after="0"/>
            </w:pPr>
            <w:r>
              <w:rPr>
                <w:rFonts w:ascii="Consolas" w:cs="Consolas" w:eastAsia="Consolas" w:hAnsi="Consolas"/>
                <w:sz w:val="18"/>
                <w:szCs w:val="18"/>
              </w:rPr>
              <w:t xml:space="preserve">  reinfarction, and the composite of death or non-fatal reinfarction, at 6</w:t>
            </w:r>
          </w:p>
          <w:p>
            <w:pPr>
              <w:spacing w:after="0"/>
            </w:pPr>
            <w:r>
              <w:rPr>
                <w:rFonts w:ascii="Consolas" w:cs="Consolas" w:eastAsia="Consolas" w:hAnsi="Consolas"/>
                <w:sz w:val="18"/>
                <w:szCs w:val="18"/>
              </w:rPr>
              <w:t xml:space="preserve">  months or later following randomization</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CRITICAL CONSTRAINT — LITERATURE CUTOFF:</w:t>
            </w:r>
          </w:p>
          <w:p>
            <w:pPr>
              <w:spacing w:after="0"/>
            </w:pPr>
            <w:r>
              <w:rPr>
                <w:rFonts w:ascii="Consolas" w:cs="Consolas" w:eastAsia="Consolas" w:hAnsi="Consolas"/>
                <w:sz w:val="18"/>
                <w:szCs w:val="18"/>
              </w:rPr>
              <w:t xml:space="preserve">Restrict your review to peer-reviewed literature published on or before</w:t>
            </w:r>
          </w:p>
          <w:p>
            <w:pPr>
              <w:spacing w:after="0"/>
            </w:pPr>
            <w:r>
              <w:rPr>
                <w:rFonts w:ascii="Consolas" w:cs="Consolas" w:eastAsia="Consolas" w:hAnsi="Consolas"/>
                <w:sz w:val="18"/>
                <w:szCs w:val="18"/>
              </w:rPr>
              <w:t xml:space="preserve">2019-07-25. If a search result is published after this date, exclude it and</w:t>
            </w:r>
          </w:p>
          <w:p>
            <w:pPr>
              <w:spacing w:after="0"/>
            </w:pPr>
            <w:r>
              <w:rPr>
                <w:rFonts w:ascii="Consolas" w:cs="Consolas" w:eastAsia="Consolas" w:hAnsi="Consolas"/>
                <w:sz w:val="18"/>
                <w:szCs w:val="18"/>
              </w:rPr>
              <w:t xml:space="preserve">note this exclusion explicitly rather than silently dropping it.</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CRITICAL CONSTRAINT — USE SEARCH TOOLS:</w:t>
            </w:r>
          </w:p>
          <w:p>
            <w:pPr>
              <w:spacing w:after="0"/>
            </w:pPr>
            <w:r>
              <w:rPr>
                <w:rFonts w:ascii="Consolas" w:cs="Consolas" w:eastAsia="Consolas" w:hAnsi="Consolas"/>
                <w:sz w:val="18"/>
                <w:szCs w:val="18"/>
              </w:rPr>
              <w:t xml:space="preserve">If you have access to a web search tool, use it actively to identify studies</w:t>
            </w:r>
          </w:p>
          <w:p>
            <w:pPr>
              <w:spacing w:after="0"/>
            </w:pPr>
            <w:r>
              <w:rPr>
                <w:rFonts w:ascii="Consolas" w:cs="Consolas" w:eastAsia="Consolas" w:hAnsi="Consolas"/>
                <w:sz w:val="18"/>
                <w:szCs w:val="18"/>
              </w:rPr>
              <w:t xml:space="preserve">for this review — do not rely solely on your training knowledge. Run multiple</w:t>
            </w:r>
          </w:p>
          <w:p>
            <w:pPr>
              <w:spacing w:after="0"/>
            </w:pPr>
            <w:r>
              <w:rPr>
                <w:rFonts w:ascii="Consolas" w:cs="Consolas" w:eastAsia="Consolas" w:hAnsi="Consolas"/>
                <w:sz w:val="18"/>
                <w:szCs w:val="18"/>
              </w:rPr>
              <w:t xml:space="preserve">distinct searches covering the population, intervention, and comparator (e.g.,</w:t>
            </w:r>
          </w:p>
          <w:p>
            <w:pPr>
              <w:spacing w:after="0"/>
            </w:pPr>
            <w:r>
              <w:rPr>
                <w:rFonts w:ascii="Consolas" w:cs="Consolas" w:eastAsia="Consolas" w:hAnsi="Consolas"/>
                <w:sz w:val="18"/>
                <w:szCs w:val="18"/>
              </w:rPr>
              <w:t xml:space="preserve">varying terms for the condition, the intervention, and study design). Log</w:t>
            </w:r>
          </w:p>
          <w:p>
            <w:pPr>
              <w:spacing w:after="0"/>
            </w:pPr>
            <w:r>
              <w:rPr>
                <w:rFonts w:ascii="Consolas" w:cs="Consolas" w:eastAsia="Consolas" w:hAnsi="Consolas"/>
                <w:sz w:val="18"/>
                <w:szCs w:val="18"/>
              </w:rPr>
              <w:t xml:space="preserve">every search query you actually ran, verbatim, in the "searches_performed"</w:t>
            </w:r>
          </w:p>
          <w:p>
            <w:pPr>
              <w:spacing w:after="0"/>
            </w:pPr>
            <w:r>
              <w:rPr>
                <w:rFonts w:ascii="Consolas" w:cs="Consolas" w:eastAsia="Consolas" w:hAnsi="Consolas"/>
                <w:sz w:val="18"/>
                <w:szCs w:val="18"/>
              </w:rPr>
              <w:t xml:space="preserve">field below. Pay particular attention to smaller, earlier, single-center, or</w:t>
            </w:r>
          </w:p>
          <w:p>
            <w:pPr>
              <w:spacing w:after="0"/>
            </w:pPr>
            <w:r>
              <w:rPr>
                <w:rFonts w:ascii="Consolas" w:cs="Consolas" w:eastAsia="Consolas" w:hAnsi="Consolas"/>
                <w:sz w:val="18"/>
                <w:szCs w:val="18"/>
              </w:rPr>
              <w:t xml:space="preserve">subgroup-specific trials that may not appear in review articles or guideline</w:t>
            </w:r>
          </w:p>
          <w:p>
            <w:pPr>
              <w:spacing w:after="0"/>
            </w:pPr>
            <w:r>
              <w:rPr>
                <w:rFonts w:ascii="Consolas" w:cs="Consolas" w:eastAsia="Consolas" w:hAnsi="Consolas"/>
                <w:sz w:val="18"/>
                <w:szCs w:val="18"/>
              </w:rPr>
              <w:t xml:space="preserve">summaries — these are often the trials a rushed manual search misses, and are</w:t>
            </w:r>
          </w:p>
          <w:p>
            <w:pPr>
              <w:spacing w:after="0"/>
            </w:pPr>
            <w:r>
              <w:rPr>
                <w:rFonts w:ascii="Consolas" w:cs="Consolas" w:eastAsia="Consolas" w:hAnsi="Consolas"/>
                <w:sz w:val="18"/>
                <w:szCs w:val="18"/>
              </w:rPr>
              <w:t xml:space="preserve">exactly what a genuine database search is meant to catch. If you do NOT have</w:t>
            </w:r>
          </w:p>
          <w:p>
            <w:pPr>
              <w:spacing w:after="0"/>
            </w:pPr>
            <w:r>
              <w:rPr>
                <w:rFonts w:ascii="Consolas" w:cs="Consolas" w:eastAsia="Consolas" w:hAnsi="Consolas"/>
                <w:sz w:val="18"/>
                <w:szCs w:val="18"/>
              </w:rPr>
              <w:t xml:space="preserve">access to a search tool in this conversation, state this explicitly in</w:t>
            </w:r>
          </w:p>
          <w:p>
            <w:pPr>
              <w:spacing w:after="0"/>
            </w:pPr>
            <w:r>
              <w:rPr>
                <w:rFonts w:ascii="Consolas" w:cs="Consolas" w:eastAsia="Consolas" w:hAnsi="Consolas"/>
                <w:sz w:val="18"/>
                <w:szCs w:val="18"/>
              </w:rPr>
              <w:t xml:space="preserve">"tool_use" below rather than proceeding as if you had searched.</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TASK:</w:t>
            </w:r>
          </w:p>
          <w:p>
            <w:pPr>
              <w:spacing w:after="0"/>
            </w:pPr>
            <w:r>
              <w:rPr>
                <w:rFonts w:ascii="Consolas" w:cs="Consolas" w:eastAsia="Consolas" w:hAnsi="Consolas"/>
                <w:sz w:val="18"/>
                <w:szCs w:val="18"/>
              </w:rPr>
              <w:t xml:space="preserve">1. Identify the studies you would include, applying standard systematic</w:t>
            </w:r>
          </w:p>
          <w:p>
            <w:pPr>
              <w:spacing w:after="0"/>
            </w:pPr>
            <w:r>
              <w:rPr>
                <w:rFonts w:ascii="Consolas" w:cs="Consolas" w:eastAsia="Consolas" w:hAnsi="Consolas"/>
                <w:sz w:val="18"/>
                <w:szCs w:val="18"/>
              </w:rPr>
              <w:t xml:space="preserve">   review inclusion/exclusion judgment to the PICO above.</w:t>
            </w:r>
          </w:p>
          <w:p>
            <w:pPr>
              <w:spacing w:after="0"/>
            </w:pPr>
            <w:r>
              <w:rPr>
                <w:rFonts w:ascii="Consolas" w:cs="Consolas" w:eastAsia="Consolas" w:hAnsi="Consolas"/>
                <w:sz w:val="18"/>
                <w:szCs w:val="18"/>
              </w:rPr>
              <w:t xml:space="preserve">2. For each included study, extract: first author, publication year, journal,</w:t>
            </w:r>
          </w:p>
          <w:p>
            <w:pPr>
              <w:spacing w:after="0"/>
            </w:pPr>
            <w:r>
              <w:rPr>
                <w:rFonts w:ascii="Consolas" w:cs="Consolas" w:eastAsia="Consolas" w:hAnsi="Consolas"/>
                <w:sz w:val="18"/>
                <w:szCs w:val="18"/>
              </w:rPr>
              <w:t xml:space="preserve">   study design, sample size, and the specific outcome data relevant to the</w:t>
            </w:r>
          </w:p>
          <w:p>
            <w:pPr>
              <w:spacing w:after="0"/>
            </w:pPr>
            <w:r>
              <w:rPr>
                <w:rFonts w:ascii="Consolas" w:cs="Consolas" w:eastAsia="Consolas" w:hAnsi="Consolas"/>
                <w:sz w:val="18"/>
                <w:szCs w:val="18"/>
              </w:rPr>
              <w:t xml:space="preserve">   question.</w:t>
            </w:r>
          </w:p>
          <w:p>
            <w:pPr>
              <w:spacing w:after="0"/>
            </w:pPr>
            <w:r>
              <w:rPr>
                <w:rFonts w:ascii="Consolas" w:cs="Consolas" w:eastAsia="Consolas" w:hAnsi="Consolas"/>
                <w:sz w:val="18"/>
                <w:szCs w:val="18"/>
              </w:rPr>
              <w:t xml:space="preserve">3. Synthesize the evidence: qualitative summary, and a quantitative pooled</w:t>
            </w:r>
          </w:p>
          <w:p>
            <w:pPr>
              <w:spacing w:after="0"/>
            </w:pPr>
            <w:r>
              <w:rPr>
                <w:rFonts w:ascii="Consolas" w:cs="Consolas" w:eastAsia="Consolas" w:hAnsi="Consolas"/>
                <w:sz w:val="18"/>
                <w:szCs w:val="18"/>
              </w:rPr>
              <w:t xml:space="preserve">   estimate if appropriate (effect measure, estimate, 95% CI, method used</w:t>
            </w:r>
          </w:p>
          <w:p>
            <w:pPr>
              <w:spacing w:after="0"/>
            </w:pPr>
            <w:r>
              <w:rPr>
                <w:rFonts w:ascii="Consolas" w:cs="Consolas" w:eastAsia="Consolas" w:hAnsi="Consolas"/>
                <w:sz w:val="18"/>
                <w:szCs w:val="18"/>
              </w:rPr>
              <w:t xml:space="preserve">   and why).</w:t>
            </w:r>
          </w:p>
          <w:p>
            <w:pPr>
              <w:spacing w:after="0"/>
            </w:pPr>
            <w:r>
              <w:rPr>
                <w:rFonts w:ascii="Consolas" w:cs="Consolas" w:eastAsia="Consolas" w:hAnsi="Consolas"/>
                <w:sz w:val="18"/>
                <w:szCs w:val="18"/>
              </w:rPr>
              <w:t xml:space="preserve">4. State your overall conclusion in 2-3 sentences, calibrated to the</w:t>
            </w:r>
          </w:p>
          <w:p>
            <w:pPr>
              <w:spacing w:after="0"/>
            </w:pPr>
            <w:r>
              <w:rPr>
                <w:rFonts w:ascii="Consolas" w:cs="Consolas" w:eastAsia="Consolas" w:hAnsi="Consolas"/>
                <w:sz w:val="18"/>
                <w:szCs w:val="18"/>
              </w:rPr>
              <w:t xml:space="preserve">   strength/consistency of the evidence.</w:t>
            </w:r>
          </w:p>
          <w:p>
            <w:pPr>
              <w:spacing w:after="0"/>
            </w:pPr>
            <w:r>
              <w:rPr>
                <w:rFonts w:ascii="Consolas" w:cs="Consolas" w:eastAsia="Consolas" w:hAnsi="Consolas"/>
                <w:sz w:val="18"/>
                <w:szCs w:val="18"/>
              </w:rPr>
              <w:t xml:space="preserve">5. Provide a complete reference list, Vancouver style.</w:t>
            </w:r>
          </w:p>
          <w:p>
            <w:pPr>
              <w:spacing w:after="0"/>
            </w:pPr>
            <w:r>
              <w:rPr>
                <w:rFonts w:ascii="Consolas" w:cs="Consolas" w:eastAsia="Consolas" w:hAnsi="Consolas"/>
                <w:sz w:val="18"/>
                <w:szCs w:val="18"/>
              </w:rPr>
              <w:t xml:space="preserve">6. Flag any close-call inclusion/exclusion judgments or low-confidence</w:t>
            </w:r>
          </w:p>
          <w:p>
            <w:pPr>
              <w:spacing w:after="0"/>
            </w:pPr>
            <w:r>
              <w:rPr>
                <w:rFonts w:ascii="Consolas" w:cs="Consolas" w:eastAsia="Consolas" w:hAnsi="Consolas"/>
                <w:sz w:val="18"/>
                <w:szCs w:val="18"/>
              </w:rPr>
              <w:t xml:space="preserve">   estimates rather than presenting false confidence.</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Respond with a single JSON object matching this schema:</w:t>
            </w:r>
          </w:p>
          <w:p>
            <w:pPr>
              <w:spacing w:after="0"/>
            </w:pPr>
            <w:r>
              <w:rPr>
                <w:rFonts w:ascii="Consolas" w:cs="Consolas" w:eastAsia="Consolas" w:hAnsi="Consolas"/>
                <w:sz w:val="18"/>
                <w:szCs w:val="18"/>
              </w:rPr>
              <w:t xml:space="preserve">{"tool_use":"search_used|search_available_not_used|search_unavailable",</w:t>
            </w:r>
          </w:p>
          <w:p>
            <w:pPr>
              <w:spacing w:after="0"/>
            </w:pPr>
            <w:r>
              <w:rPr>
                <w:rFonts w:ascii="Consolas" w:cs="Consolas" w:eastAsia="Consolas" w:hAnsi="Consolas"/>
                <w:sz w:val="18"/>
                <w:szCs w:val="18"/>
              </w:rPr>
              <w:t xml:space="preserve"> "searches_performed":[""],</w:t>
            </w:r>
          </w:p>
          <w:p>
            <w:pPr>
              <w:spacing w:after="0"/>
            </w:pPr>
            <w:r>
              <w:rPr>
                <w:rFonts w:ascii="Consolas" w:cs="Consolas" w:eastAsia="Consolas" w:hAnsi="Consolas"/>
                <w:sz w:val="18"/>
                <w:szCs w:val="18"/>
              </w:rPr>
              <w:t xml:space="preserve"> "included_studies":[{"first_author":"","year":0,"journal":"","design":"",</w:t>
            </w:r>
          </w:p>
          <w:p>
            <w:pPr>
              <w:spacing w:after="0"/>
            </w:pPr>
            <w:r>
              <w:rPr>
                <w:rFonts w:ascii="Consolas" w:cs="Consolas" w:eastAsia="Consolas" w:hAnsi="Consolas"/>
                <w:sz w:val="18"/>
                <w:szCs w:val="18"/>
              </w:rPr>
              <w:t xml:space="preserve">   "n_total":0,"outcome_data":""}],</w:t>
            </w:r>
          </w:p>
          <w:p>
            <w:pPr>
              <w:spacing w:after="0"/>
            </w:pPr>
            <w:r>
              <w:rPr>
                <w:rFonts w:ascii="Consolas" w:cs="Consolas" w:eastAsia="Consolas" w:hAnsi="Consolas"/>
                <w:sz w:val="18"/>
                <w:szCs w:val="18"/>
              </w:rPr>
              <w:t xml:space="preserve"> "pooled_effect":{"measure":"","estimate":0.0,"ci_lower":0.0,"ci_upper":0.0,</w:t>
            </w:r>
          </w:p>
          <w:p>
            <w:pPr>
              <w:spacing w:after="0"/>
            </w:pPr>
            <w:r>
              <w:rPr>
                <w:rFonts w:ascii="Consolas" w:cs="Consolas" w:eastAsia="Consolas" w:hAnsi="Consolas"/>
                <w:sz w:val="18"/>
                <w:szCs w:val="18"/>
              </w:rPr>
              <w:t xml:space="preserve">   "method":""},</w:t>
            </w:r>
          </w:p>
          <w:p>
            <w:pPr>
              <w:spacing w:after="0"/>
            </w:pPr>
            <w:r>
              <w:rPr>
                <w:rFonts w:ascii="Consolas" w:cs="Consolas" w:eastAsia="Consolas" w:hAnsi="Consolas"/>
                <w:sz w:val="18"/>
                <w:szCs w:val="18"/>
              </w:rPr>
              <w:t xml:space="preserve"> "conclusion":"",</w:t>
            </w:r>
          </w:p>
          <w:p>
            <w:pPr>
              <w:spacing w:after="0"/>
            </w:pPr>
            <w:r>
              <w:rPr>
                <w:rFonts w:ascii="Consolas" w:cs="Consolas" w:eastAsia="Consolas" w:hAnsi="Consolas"/>
                <w:sz w:val="18"/>
                <w:szCs w:val="18"/>
              </w:rPr>
              <w:t xml:space="preserve"> "flagged_uncertainties":[""],</w:t>
            </w:r>
          </w:p>
          <w:p>
            <w:pPr>
              <w:spacing w:after="0"/>
            </w:pPr>
            <w:r>
              <w:rPr>
                <w:rFonts w:ascii="Consolas" w:cs="Consolas" w:eastAsia="Consolas" w:hAnsi="Consolas"/>
                <w:sz w:val="18"/>
                <w:szCs w:val="18"/>
              </w:rPr>
              <w:t xml:space="preserve"> "reference_list":[""]}</w:t>
            </w:r>
          </w:p>
        </w:tc>
      </w:tr>
    </w:tbl>
    <w:p>
      <w:pPr>
        <w:pStyle w:val="Heading1"/>
        <w:spacing w:after="140" w:before="320"/>
      </w:pPr>
      <w:r>
        <w:t xml:space="preserve">Design B — v1: Second-Reviewer / Extraction-Check Prompt (schema v1)</w:t>
      </w:r>
    </w:p>
    <w:p>
      <w:pPr>
        <w:spacing w:after="160"/>
      </w:pPr>
      <w:r>
        <w:rPr>
          <w:i/>
          <w:iCs/>
        </w:rPr>
        <w:t xml:space="preserve">Used for 3 of the 8 Design B runs (Results 3.1), with extraction_confidence as the only structured self-report field. Task prompt text is identical in v1 and v2; only the schema changes (see Design B v2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2F2F2" w:val="clear"/>
            <w:tcMar>
              <w:top w:type="dxa" w:w="150"/>
              <w:left w:type="dxa" w:w="150"/>
              <w:bottom w:type="dxa" w:w="150"/>
              <w:right w:type="dxa" w:w="150"/>
            </w:tcMar>
          </w:tcPr>
          <w:p>
            <w:pPr>
              <w:spacing w:after="0"/>
            </w:pPr>
            <w:r>
              <w:rPr>
                <w:rFonts w:ascii="Consolas" w:cs="Consolas" w:eastAsia="Consolas" w:hAnsi="Consolas"/>
                <w:sz w:val="18"/>
                <w:szCs w:val="18"/>
              </w:rPr>
              <w:t xml:space="preserve">You are functioning as an independent second reviewer for a systematic review</w:t>
            </w:r>
          </w:p>
          <w:p>
            <w:pPr>
              <w:spacing w:after="0"/>
            </w:pPr>
            <w:r>
              <w:rPr>
                <w:rFonts w:ascii="Consolas" w:cs="Consolas" w:eastAsia="Consolas" w:hAnsi="Consolas"/>
                <w:sz w:val="18"/>
                <w:szCs w:val="18"/>
              </w:rPr>
              <w:t xml:space="preserve">and meta-analysis. The list of studies to include has ALREADY been determined</w:t>
            </w:r>
          </w:p>
          <w:p>
            <w:pPr>
              <w:spacing w:after="0"/>
            </w:pPr>
            <w:r>
              <w:rPr>
                <w:rFonts w:ascii="Consolas" w:cs="Consolas" w:eastAsia="Consolas" w:hAnsi="Consolas"/>
                <w:sz w:val="18"/>
                <w:szCs w:val="18"/>
              </w:rPr>
              <w:t xml:space="preserve">(by the original review team) and is provided below — you are not being asked</w:t>
            </w:r>
          </w:p>
          <w:p>
            <w:pPr>
              <w:spacing w:after="0"/>
            </w:pPr>
            <w:r>
              <w:rPr>
                <w:rFonts w:ascii="Consolas" w:cs="Consolas" w:eastAsia="Consolas" w:hAnsi="Consolas"/>
                <w:sz w:val="18"/>
                <w:szCs w:val="18"/>
              </w:rPr>
              <w:t xml:space="preserve">to judge which studies belong in this review. Your task is limited to</w:t>
            </w:r>
          </w:p>
          <w:p>
            <w:pPr>
              <w:spacing w:after="0"/>
            </w:pPr>
            <w:r>
              <w:rPr>
                <w:rFonts w:ascii="Consolas" w:cs="Consolas" w:eastAsia="Consolas" w:hAnsi="Consolas"/>
                <w:sz w:val="18"/>
                <w:szCs w:val="18"/>
              </w:rPr>
              <w:t xml:space="preserve">independent data extraction and synthesis, exactly as a second reviewer would</w:t>
            </w:r>
          </w:p>
          <w:p>
            <w:pPr>
              <w:spacing w:after="0"/>
            </w:pPr>
            <w:r>
              <w:rPr>
                <w:rFonts w:ascii="Consolas" w:cs="Consolas" w:eastAsia="Consolas" w:hAnsi="Consolas"/>
                <w:sz w:val="18"/>
                <w:szCs w:val="18"/>
              </w:rPr>
              <w:t xml:space="preserve">do to check the primary reviewer's work.</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RESEARCH QUESTION (PICO):</w:t>
            </w:r>
          </w:p>
          <w:p>
            <w:pPr>
              <w:spacing w:after="0"/>
            </w:pPr>
            <w:r>
              <w:rPr>
                <w:rFonts w:ascii="Consolas" w:cs="Consolas" w:eastAsia="Consolas" w:hAnsi="Consolas"/>
                <w:sz w:val="18"/>
                <w:szCs w:val="18"/>
              </w:rPr>
              <w:t xml:space="preserve">Population: Adults with advanced or metastatic cancer</w:t>
            </w:r>
          </w:p>
          <w:p>
            <w:pPr>
              <w:spacing w:after="0"/>
            </w:pPr>
            <w:r>
              <w:rPr>
                <w:rFonts w:ascii="Consolas" w:cs="Consolas" w:eastAsia="Consolas" w:hAnsi="Consolas"/>
                <w:sz w:val="18"/>
                <w:szCs w:val="18"/>
              </w:rPr>
              <w:t xml:space="preserve">Intervention: Metformin added to systemic anticancer therapy</w:t>
            </w:r>
          </w:p>
          <w:p>
            <w:pPr>
              <w:spacing w:after="0"/>
            </w:pPr>
            <w:r>
              <w:rPr>
                <w:rFonts w:ascii="Consolas" w:cs="Consolas" w:eastAsia="Consolas" w:hAnsi="Consolas"/>
                <w:sz w:val="18"/>
                <w:szCs w:val="18"/>
              </w:rPr>
              <w:t xml:space="preserve">Comparator: Systemic anticancer therapy alone</w:t>
            </w:r>
          </w:p>
          <w:p>
            <w:pPr>
              <w:spacing w:after="0"/>
            </w:pPr>
            <w:r>
              <w:rPr>
                <w:rFonts w:ascii="Consolas" w:cs="Consolas" w:eastAsia="Consolas" w:hAnsi="Consolas"/>
                <w:sz w:val="18"/>
                <w:szCs w:val="18"/>
              </w:rPr>
              <w:t xml:space="preserve">Outcome(s): Overall response rate, progression-free survival, overall</w:t>
            </w:r>
          </w:p>
          <w:p>
            <w:pPr>
              <w:spacing w:after="0"/>
            </w:pPr>
            <w:r>
              <w:rPr>
                <w:rFonts w:ascii="Consolas" w:cs="Consolas" w:eastAsia="Consolas" w:hAnsi="Consolas"/>
                <w:sz w:val="18"/>
                <w:szCs w:val="18"/>
              </w:rPr>
              <w:t xml:space="preserve">  survival, and adverse events</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STUDIES TO EXTRACT FROM (final included list from the original published</w:t>
            </w:r>
          </w:p>
          <w:p>
            <w:pPr>
              <w:spacing w:after="0"/>
            </w:pPr>
            <w:r>
              <w:rPr>
                <w:rFonts w:ascii="Consolas" w:cs="Consolas" w:eastAsia="Consolas" w:hAnsi="Consolas"/>
                <w:sz w:val="18"/>
                <w:szCs w:val="18"/>
              </w:rPr>
              <w:t xml:space="preserve">review — treat each citation as a real, verified study; do not second-guess</w:t>
            </w:r>
          </w:p>
          <w:p>
            <w:pPr>
              <w:spacing w:after="0"/>
            </w:pPr>
            <w:r>
              <w:rPr>
                <w:rFonts w:ascii="Consolas" w:cs="Consolas" w:eastAsia="Consolas" w:hAnsi="Consolas"/>
                <w:sz w:val="18"/>
                <w:szCs w:val="18"/>
              </w:rPr>
              <w:t xml:space="preserve">whether it should be included):</w:t>
            </w:r>
          </w:p>
          <w:p>
            <w:pPr>
              <w:spacing w:after="0"/>
            </w:pPr>
            <w:r>
              <w:rPr>
                <w:rFonts w:ascii="Consolas" w:cs="Consolas" w:eastAsia="Consolas" w:hAnsi="Consolas"/>
                <w:sz w:val="18"/>
                <w:szCs w:val="18"/>
              </w:rPr>
              <w:t xml:space="preserve">1. Kordes S, Pollak MN, Zwinderman AH, et al. Metformin in patients with</w:t>
            </w:r>
          </w:p>
          <w:p>
            <w:pPr>
              <w:spacing w:after="0"/>
            </w:pPr>
            <w:r>
              <w:rPr>
                <w:rFonts w:ascii="Consolas" w:cs="Consolas" w:eastAsia="Consolas" w:hAnsi="Consolas"/>
                <w:sz w:val="18"/>
                <w:szCs w:val="18"/>
              </w:rPr>
              <w:t xml:space="preserve">   advanced pancreatic cancer: a double-blind, randomised, placebo-</w:t>
            </w:r>
          </w:p>
          <w:p>
            <w:pPr>
              <w:spacing w:after="0"/>
            </w:pPr>
            <w:r>
              <w:rPr>
                <w:rFonts w:ascii="Consolas" w:cs="Consolas" w:eastAsia="Consolas" w:hAnsi="Consolas"/>
                <w:sz w:val="18"/>
                <w:szCs w:val="18"/>
              </w:rPr>
              <w:t xml:space="preserve">   controlled phase 2 trial. Lancet Oncol. 2015;16(7):839-847.</w:t>
            </w:r>
          </w:p>
          <w:p>
            <w:pPr>
              <w:spacing w:after="0"/>
            </w:pPr>
            <w:r>
              <w:rPr>
                <w:rFonts w:ascii="Consolas" w:cs="Consolas" w:eastAsia="Consolas" w:hAnsi="Consolas"/>
                <w:sz w:val="18"/>
                <w:szCs w:val="18"/>
              </w:rPr>
              <w:t xml:space="preserve">2. Sayed R, Saad AS, El Wakeel L, Elkholy E, Badary O. Metformin Addition</w:t>
            </w:r>
          </w:p>
          <w:p>
            <w:pPr>
              <w:spacing w:after="0"/>
            </w:pPr>
            <w:r>
              <w:rPr>
                <w:rFonts w:ascii="Consolas" w:cs="Consolas" w:eastAsia="Consolas" w:hAnsi="Consolas"/>
                <w:sz w:val="18"/>
                <w:szCs w:val="18"/>
              </w:rPr>
              <w:t xml:space="preserve">   to Chemotherapy in Stage IV Non-Small Cell Lung Cancer: an Open Label</w:t>
            </w:r>
          </w:p>
          <w:p>
            <w:pPr>
              <w:spacing w:after="0"/>
            </w:pPr>
            <w:r>
              <w:rPr>
                <w:rFonts w:ascii="Consolas" w:cs="Consolas" w:eastAsia="Consolas" w:hAnsi="Consolas"/>
                <w:sz w:val="18"/>
                <w:szCs w:val="18"/>
              </w:rPr>
              <w:t xml:space="preserve">   Randomized Controlled Study. Asian Pac J Cancer Prev. 2015;16(15):</w:t>
            </w:r>
          </w:p>
          <w:p>
            <w:pPr>
              <w:spacing w:after="0"/>
            </w:pPr>
            <w:r>
              <w:rPr>
                <w:rFonts w:ascii="Consolas" w:cs="Consolas" w:eastAsia="Consolas" w:hAnsi="Consolas"/>
                <w:sz w:val="18"/>
                <w:szCs w:val="18"/>
              </w:rPr>
              <w:t xml:space="preserve">   6621-6626.</w:t>
            </w:r>
          </w:p>
          <w:p>
            <w:pPr>
              <w:spacing w:after="0"/>
            </w:pPr>
            <w:r>
              <w:rPr>
                <w:rFonts w:ascii="Consolas" w:cs="Consolas" w:eastAsia="Consolas" w:hAnsi="Consolas"/>
                <w:sz w:val="18"/>
                <w:szCs w:val="18"/>
              </w:rPr>
              <w:t xml:space="preserve">3. Reni M, Dugnani E, Cereda S, et al. (Ir)relevance of metformin</w:t>
            </w:r>
          </w:p>
          <w:p>
            <w:pPr>
              <w:spacing w:after="0"/>
            </w:pPr>
            <w:r>
              <w:rPr>
                <w:rFonts w:ascii="Consolas" w:cs="Consolas" w:eastAsia="Consolas" w:hAnsi="Consolas"/>
                <w:sz w:val="18"/>
                <w:szCs w:val="18"/>
              </w:rPr>
              <w:t xml:space="preserve">   treatment in patients with metastatic pancreatic cancer: an open-</w:t>
            </w:r>
          </w:p>
          <w:p>
            <w:pPr>
              <w:spacing w:after="0"/>
            </w:pPr>
            <w:r>
              <w:rPr>
                <w:rFonts w:ascii="Consolas" w:cs="Consolas" w:eastAsia="Consolas" w:hAnsi="Consolas"/>
                <w:sz w:val="18"/>
                <w:szCs w:val="18"/>
              </w:rPr>
              <w:t xml:space="preserve">   label, randomized phase II trial. Clin Cancer Res. 2016;22(5):</w:t>
            </w:r>
          </w:p>
          <w:p>
            <w:pPr>
              <w:spacing w:after="0"/>
            </w:pPr>
            <w:r>
              <w:rPr>
                <w:rFonts w:ascii="Consolas" w:cs="Consolas" w:eastAsia="Consolas" w:hAnsi="Consolas"/>
                <w:sz w:val="18"/>
                <w:szCs w:val="18"/>
              </w:rPr>
              <w:t xml:space="preserve">   1076-1085.</w:t>
            </w:r>
          </w:p>
          <w:p>
            <w:pPr>
              <w:spacing w:after="0"/>
            </w:pPr>
            <w:r>
              <w:rPr>
                <w:rFonts w:ascii="Consolas" w:cs="Consolas" w:eastAsia="Consolas" w:hAnsi="Consolas"/>
                <w:sz w:val="18"/>
                <w:szCs w:val="18"/>
              </w:rPr>
              <w:t xml:space="preserve">4. Zhao Y, Gong C, Wang Z, et al. A randomized phase II study of</w:t>
            </w:r>
          </w:p>
          <w:p>
            <w:pPr>
              <w:spacing w:after="0"/>
            </w:pPr>
            <w:r>
              <w:rPr>
                <w:rFonts w:ascii="Consolas" w:cs="Consolas" w:eastAsia="Consolas" w:hAnsi="Consolas"/>
                <w:sz w:val="18"/>
                <w:szCs w:val="18"/>
              </w:rPr>
              <w:t xml:space="preserve">   aromatase inhibitors plus metformin in pre-treated postmenopausal</w:t>
            </w:r>
          </w:p>
          <w:p>
            <w:pPr>
              <w:spacing w:after="0"/>
            </w:pPr>
            <w:r>
              <w:rPr>
                <w:rFonts w:ascii="Consolas" w:cs="Consolas" w:eastAsia="Consolas" w:hAnsi="Consolas"/>
                <w:sz w:val="18"/>
                <w:szCs w:val="18"/>
              </w:rPr>
              <w:t xml:space="preserve">   patients with hormone receptor positive metastatic breast cancer.</w:t>
            </w:r>
          </w:p>
          <w:p>
            <w:pPr>
              <w:spacing w:after="0"/>
            </w:pPr>
            <w:r>
              <w:rPr>
                <w:rFonts w:ascii="Consolas" w:cs="Consolas" w:eastAsia="Consolas" w:hAnsi="Consolas"/>
                <w:sz w:val="18"/>
                <w:szCs w:val="18"/>
              </w:rPr>
              <w:t xml:space="preserve">   Oncotarget. 2017;8(50):84224-84236.</w:t>
            </w:r>
          </w:p>
          <w:p>
            <w:pPr>
              <w:spacing w:after="0"/>
            </w:pPr>
            <w:r>
              <w:rPr>
                <w:rFonts w:ascii="Consolas" w:cs="Consolas" w:eastAsia="Consolas" w:hAnsi="Consolas"/>
                <w:sz w:val="18"/>
                <w:szCs w:val="18"/>
              </w:rPr>
              <w:t xml:space="preserve">5. Marrone KA, Zhou X, Forde PM, et al. A randomized phase II study of</w:t>
            </w:r>
          </w:p>
          <w:p>
            <w:pPr>
              <w:spacing w:after="0"/>
            </w:pPr>
            <w:r>
              <w:rPr>
                <w:rFonts w:ascii="Consolas" w:cs="Consolas" w:eastAsia="Consolas" w:hAnsi="Consolas"/>
                <w:sz w:val="18"/>
                <w:szCs w:val="18"/>
              </w:rPr>
              <w:t xml:space="preserve">   metformin plus paclitaxel/carboplatin/bevacizumab in patients with</w:t>
            </w:r>
          </w:p>
          <w:p>
            <w:pPr>
              <w:spacing w:after="0"/>
            </w:pPr>
            <w:r>
              <w:rPr>
                <w:rFonts w:ascii="Consolas" w:cs="Consolas" w:eastAsia="Consolas" w:hAnsi="Consolas"/>
                <w:sz w:val="18"/>
                <w:szCs w:val="18"/>
              </w:rPr>
              <w:t xml:space="preserve">   chemotherapy-naïve advanced or metastatic nonsquamous non-small cell</w:t>
            </w:r>
          </w:p>
          <w:p>
            <w:pPr>
              <w:spacing w:after="0"/>
            </w:pPr>
            <w:r>
              <w:rPr>
                <w:rFonts w:ascii="Consolas" w:cs="Consolas" w:eastAsia="Consolas" w:hAnsi="Consolas"/>
                <w:sz w:val="18"/>
                <w:szCs w:val="18"/>
              </w:rPr>
              <w:t xml:space="preserve">   lung cancer. Oncologist. 2018;23(7):859-865.</w:t>
            </w:r>
          </w:p>
          <w:p>
            <w:pPr>
              <w:spacing w:after="0"/>
            </w:pPr>
            <w:r>
              <w:rPr>
                <w:rFonts w:ascii="Consolas" w:cs="Consolas" w:eastAsia="Consolas" w:hAnsi="Consolas"/>
                <w:sz w:val="18"/>
                <w:szCs w:val="18"/>
              </w:rPr>
              <w:t xml:space="preserve">6. Nanni O, Amadori D, De Censi A, et al. Metformin plus chemotherapy</w:t>
            </w:r>
          </w:p>
          <w:p>
            <w:pPr>
              <w:spacing w:after="0"/>
            </w:pPr>
            <w:r>
              <w:rPr>
                <w:rFonts w:ascii="Consolas" w:cs="Consolas" w:eastAsia="Consolas" w:hAnsi="Consolas"/>
                <w:sz w:val="18"/>
                <w:szCs w:val="18"/>
              </w:rPr>
              <w:t xml:space="preserve">   versus chemotherapy alone in the first-line treatment of HER2-</w:t>
            </w:r>
          </w:p>
          <w:p>
            <w:pPr>
              <w:spacing w:after="0"/>
            </w:pPr>
            <w:r>
              <w:rPr>
                <w:rFonts w:ascii="Consolas" w:cs="Consolas" w:eastAsia="Consolas" w:hAnsi="Consolas"/>
                <w:sz w:val="18"/>
                <w:szCs w:val="18"/>
              </w:rPr>
              <w:t xml:space="preserve">   negative metastatic breast cancer. The MYME randomized, phase 2</w:t>
            </w:r>
          </w:p>
          <w:p>
            <w:pPr>
              <w:spacing w:after="0"/>
            </w:pPr>
            <w:r>
              <w:rPr>
                <w:rFonts w:ascii="Consolas" w:cs="Consolas" w:eastAsia="Consolas" w:hAnsi="Consolas"/>
                <w:sz w:val="18"/>
                <w:szCs w:val="18"/>
              </w:rPr>
              <w:t xml:space="preserve">   clinical trial. Breast Cancer Res Treat. 2019;174:433-442.</w:t>
            </w:r>
          </w:p>
          <w:p>
            <w:pPr>
              <w:spacing w:after="0"/>
            </w:pPr>
            <w:r>
              <w:rPr>
                <w:rFonts w:ascii="Consolas" w:cs="Consolas" w:eastAsia="Consolas" w:hAnsi="Consolas"/>
                <w:sz w:val="18"/>
                <w:szCs w:val="18"/>
              </w:rPr>
              <w:t xml:space="preserve">7. Pimentel I, Lohmann AE, Ennis M, et al. A phase II randomized</w:t>
            </w:r>
          </w:p>
          <w:p>
            <w:pPr>
              <w:spacing w:after="0"/>
            </w:pPr>
            <w:r>
              <w:rPr>
                <w:rFonts w:ascii="Consolas" w:cs="Consolas" w:eastAsia="Consolas" w:hAnsi="Consolas"/>
                <w:sz w:val="18"/>
                <w:szCs w:val="18"/>
              </w:rPr>
              <w:t xml:space="preserve">   clinical trial of the effect of metformin versus placebo on</w:t>
            </w:r>
          </w:p>
          <w:p>
            <w:pPr>
              <w:spacing w:after="0"/>
            </w:pPr>
            <w:r>
              <w:rPr>
                <w:rFonts w:ascii="Consolas" w:cs="Consolas" w:eastAsia="Consolas" w:hAnsi="Consolas"/>
                <w:sz w:val="18"/>
                <w:szCs w:val="18"/>
              </w:rPr>
              <w:t xml:space="preserve">   progression-free survival in women with metastatic breast cancer</w:t>
            </w:r>
          </w:p>
          <w:p>
            <w:pPr>
              <w:spacing w:after="0"/>
            </w:pPr>
            <w:r>
              <w:rPr>
                <w:rFonts w:ascii="Consolas" w:cs="Consolas" w:eastAsia="Consolas" w:hAnsi="Consolas"/>
                <w:sz w:val="18"/>
                <w:szCs w:val="18"/>
              </w:rPr>
              <w:t xml:space="preserve">   receiving standard chemotherapy. Breast. 2019;48:17-23.</w:t>
            </w:r>
          </w:p>
          <w:p>
            <w:pPr>
              <w:spacing w:after="0"/>
            </w:pPr>
            <w:r>
              <w:rPr>
                <w:rFonts w:ascii="Consolas" w:cs="Consolas" w:eastAsia="Consolas" w:hAnsi="Consolas"/>
                <w:sz w:val="18"/>
                <w:szCs w:val="18"/>
              </w:rPr>
              <w:t xml:space="preserve">8. Li L, Jiang L, Wang Y, Zhao Y, Zhang XJ, Wu G, et al. Combination of</w:t>
            </w:r>
          </w:p>
          <w:p>
            <w:pPr>
              <w:spacing w:after="0"/>
            </w:pPr>
            <w:r>
              <w:rPr>
                <w:rFonts w:ascii="Consolas" w:cs="Consolas" w:eastAsia="Consolas" w:hAnsi="Consolas"/>
                <w:sz w:val="18"/>
                <w:szCs w:val="18"/>
              </w:rPr>
              <w:t xml:space="preserve">   metformin and gefitinib as first-line therapy for nondiabetic</w:t>
            </w:r>
          </w:p>
          <w:p>
            <w:pPr>
              <w:spacing w:after="0"/>
            </w:pPr>
            <w:r>
              <w:rPr>
                <w:rFonts w:ascii="Consolas" w:cs="Consolas" w:eastAsia="Consolas" w:hAnsi="Consolas"/>
                <w:sz w:val="18"/>
                <w:szCs w:val="18"/>
              </w:rPr>
              <w:t xml:space="preserve">   advanced NSCLC patients with EGFR mutations: a randomized, double-</w:t>
            </w:r>
          </w:p>
          <w:p>
            <w:pPr>
              <w:spacing w:after="0"/>
            </w:pPr>
            <w:r>
              <w:rPr>
                <w:rFonts w:ascii="Consolas" w:cs="Consolas" w:eastAsia="Consolas" w:hAnsi="Consolas"/>
                <w:sz w:val="18"/>
                <w:szCs w:val="18"/>
              </w:rPr>
              <w:t xml:space="preserve">   blind phase II trial. Clin Cancer Res. 2019;25(23):6967-6975.</w:t>
            </w:r>
          </w:p>
          <w:p>
            <w:pPr>
              <w:spacing w:after="0"/>
            </w:pPr>
            <w:r>
              <w:rPr>
                <w:rFonts w:ascii="Consolas" w:cs="Consolas" w:eastAsia="Consolas" w:hAnsi="Consolas"/>
                <w:sz w:val="18"/>
                <w:szCs w:val="18"/>
              </w:rPr>
              <w:t xml:space="preserve">9. Arrieta O, Barrón F, Padilla MS, et al. Effect of metformin plus</w:t>
            </w:r>
          </w:p>
          <w:p>
            <w:pPr>
              <w:spacing w:after="0"/>
            </w:pPr>
            <w:r>
              <w:rPr>
                <w:rFonts w:ascii="Consolas" w:cs="Consolas" w:eastAsia="Consolas" w:hAnsi="Consolas"/>
                <w:sz w:val="18"/>
                <w:szCs w:val="18"/>
              </w:rPr>
              <w:t xml:space="preserve">   tyrosine kinase inhibitors compared with tyrosine kinase inhibitors</w:t>
            </w:r>
          </w:p>
          <w:p>
            <w:pPr>
              <w:spacing w:after="0"/>
            </w:pPr>
            <w:r>
              <w:rPr>
                <w:rFonts w:ascii="Consolas" w:cs="Consolas" w:eastAsia="Consolas" w:hAnsi="Consolas"/>
                <w:sz w:val="18"/>
                <w:szCs w:val="18"/>
              </w:rPr>
              <w:t xml:space="preserve">   alone in patients with epidermal growth factor receptor-mutated lung</w:t>
            </w:r>
          </w:p>
          <w:p>
            <w:pPr>
              <w:spacing w:after="0"/>
            </w:pPr>
            <w:r>
              <w:rPr>
                <w:rFonts w:ascii="Consolas" w:cs="Consolas" w:eastAsia="Consolas" w:hAnsi="Consolas"/>
                <w:sz w:val="18"/>
                <w:szCs w:val="18"/>
              </w:rPr>
              <w:t xml:space="preserve">   adenocarcinoma: a phase 2 randomized clinical trial. JAMA Oncol.</w:t>
            </w:r>
          </w:p>
          <w:p>
            <w:pPr>
              <w:spacing w:after="0"/>
            </w:pPr>
            <w:r>
              <w:rPr>
                <w:rFonts w:ascii="Consolas" w:cs="Consolas" w:eastAsia="Consolas" w:hAnsi="Consolas"/>
                <w:sz w:val="18"/>
                <w:szCs w:val="18"/>
              </w:rPr>
              <w:t xml:space="preserve">   2019;5(11):e192553.</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TASK:</w:t>
            </w:r>
          </w:p>
          <w:p>
            <w:pPr>
              <w:spacing w:after="0"/>
            </w:pPr>
            <w:r>
              <w:rPr>
                <w:rFonts w:ascii="Consolas" w:cs="Consolas" w:eastAsia="Consolas" w:hAnsi="Consolas"/>
                <w:sz w:val="18"/>
                <w:szCs w:val="18"/>
              </w:rPr>
              <w:t xml:space="preserve">1. For each study listed above, independently extract: the outcome measure</w:t>
            </w:r>
          </w:p>
          <w:p>
            <w:pPr>
              <w:spacing w:after="0"/>
            </w:pPr>
            <w:r>
              <w:rPr>
                <w:rFonts w:ascii="Consolas" w:cs="Consolas" w:eastAsia="Consolas" w:hAnsi="Consolas"/>
                <w:sz w:val="18"/>
                <w:szCs w:val="18"/>
              </w:rPr>
              <w:t xml:space="preserve">   used, the effect size (e.g., OR/RR/MD) and 95% CI as reported in that</w:t>
            </w:r>
          </w:p>
          <w:p>
            <w:pPr>
              <w:spacing w:after="0"/>
            </w:pPr>
            <w:r>
              <w:rPr>
                <w:rFonts w:ascii="Consolas" w:cs="Consolas" w:eastAsia="Consolas" w:hAnsi="Consolas"/>
                <w:sz w:val="18"/>
                <w:szCs w:val="18"/>
              </w:rPr>
              <w:t xml:space="preserve">   study, the sample size per arm, and the risk-of-bias judgment if the</w:t>
            </w:r>
          </w:p>
          <w:p>
            <w:pPr>
              <w:spacing w:after="0"/>
            </w:pPr>
            <w:r>
              <w:rPr>
                <w:rFonts w:ascii="Consolas" w:cs="Consolas" w:eastAsia="Consolas" w:hAnsi="Consolas"/>
                <w:sz w:val="18"/>
                <w:szCs w:val="18"/>
              </w:rPr>
              <w:t xml:space="preserve">   study reports one.</w:t>
            </w:r>
          </w:p>
          <w:p>
            <w:pPr>
              <w:spacing w:after="0"/>
            </w:pPr>
            <w:r>
              <w:rPr>
                <w:rFonts w:ascii="Consolas" w:cs="Consolas" w:eastAsia="Consolas" w:hAnsi="Consolas"/>
                <w:sz w:val="18"/>
                <w:szCs w:val="18"/>
              </w:rPr>
              <w:t xml:space="preserve">2. Calculate a pooled effect estimate across these studies using an</w:t>
            </w:r>
          </w:p>
          <w:p>
            <w:pPr>
              <w:spacing w:after="0"/>
            </w:pPr>
            <w:r>
              <w:rPr>
                <w:rFonts w:ascii="Consolas" w:cs="Consolas" w:eastAsia="Consolas" w:hAnsi="Consolas"/>
                <w:sz w:val="18"/>
                <w:szCs w:val="18"/>
              </w:rPr>
              <w:t xml:space="preserve">   appropriate meta-analytic method. State which method you used (fixed-</w:t>
            </w:r>
          </w:p>
          <w:p>
            <w:pPr>
              <w:spacing w:after="0"/>
            </w:pPr>
            <w:r>
              <w:rPr>
                <w:rFonts w:ascii="Consolas" w:cs="Consolas" w:eastAsia="Consolas" w:hAnsi="Consolas"/>
                <w:sz w:val="18"/>
                <w:szCs w:val="18"/>
              </w:rPr>
              <w:t xml:space="preserve">   vs random-effects, and why) rather than defaulting silently.</w:t>
            </w:r>
          </w:p>
          <w:p>
            <w:pPr>
              <w:spacing w:after="0"/>
            </w:pPr>
            <w:r>
              <w:rPr>
                <w:rFonts w:ascii="Consolas" w:cs="Consolas" w:eastAsia="Consolas" w:hAnsi="Consolas"/>
                <w:sz w:val="18"/>
                <w:szCs w:val="18"/>
              </w:rPr>
              <w:t xml:space="preserve">3. State your synthesized conclusion regarding the research question in</w:t>
            </w:r>
          </w:p>
          <w:p>
            <w:pPr>
              <w:spacing w:after="0"/>
            </w:pPr>
            <w:r>
              <w:rPr>
                <w:rFonts w:ascii="Consolas" w:cs="Consolas" w:eastAsia="Consolas" w:hAnsi="Consolas"/>
                <w:sz w:val="18"/>
                <w:szCs w:val="18"/>
              </w:rPr>
              <w:t xml:space="preserve">   2-3 sentences.</w:t>
            </w:r>
          </w:p>
          <w:p>
            <w:pPr>
              <w:spacing w:after="0"/>
            </w:pPr>
            <w:r>
              <w:rPr>
                <w:rFonts w:ascii="Consolas" w:cs="Consolas" w:eastAsia="Consolas" w:hAnsi="Consolas"/>
                <w:sz w:val="18"/>
                <w:szCs w:val="18"/>
              </w:rPr>
              <w:t xml:space="preserve">4. If you cannot confidently extract the required data for a given study</w:t>
            </w:r>
          </w:p>
          <w:p>
            <w:pPr>
              <w:spacing w:after="0"/>
            </w:pPr>
            <w:r>
              <w:rPr>
                <w:rFonts w:ascii="Consolas" w:cs="Consolas" w:eastAsia="Consolas" w:hAnsi="Consolas"/>
                <w:sz w:val="18"/>
                <w:szCs w:val="18"/>
              </w:rPr>
              <w:t xml:space="preserve">   (e.g., because you do not have reliable access to that study's specific</w:t>
            </w:r>
          </w:p>
          <w:p>
            <w:pPr>
              <w:spacing w:after="0"/>
            </w:pPr>
            <w:r>
              <w:rPr>
                <w:rFonts w:ascii="Consolas" w:cs="Consolas" w:eastAsia="Consolas" w:hAnsi="Consolas"/>
                <w:sz w:val="18"/>
                <w:szCs w:val="18"/>
              </w:rPr>
              <w:t xml:space="preserve">   reported numbers), explicitly flag it as such rather than producing a</w:t>
            </w:r>
          </w:p>
          <w:p>
            <w:pPr>
              <w:spacing w:after="0"/>
            </w:pPr>
            <w:r>
              <w:rPr>
                <w:rFonts w:ascii="Consolas" w:cs="Consolas" w:eastAsia="Consolas" w:hAnsi="Consolas"/>
                <w:sz w:val="18"/>
                <w:szCs w:val="18"/>
              </w:rPr>
              <w:t xml:space="preserve">   plausible-looking but unverified number.</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OUTPUT FORMAT — respond with a single JSON object matching this schema:</w:t>
            </w:r>
          </w:p>
          <w:p>
            <w:pPr>
              <w:spacing w:after="0"/>
            </w:pPr>
            <w:r>
              <w:rPr>
                <w:rFonts w:ascii="Consolas" w:cs="Consolas" w:eastAsia="Consolas" w:hAnsi="Consolas"/>
                <w:sz w:val="18"/>
                <w:szCs w:val="18"/>
              </w:rPr>
              <w:t xml:space="preserve">{</w:t>
            </w:r>
          </w:p>
          <w:p>
            <w:pPr>
              <w:spacing w:after="0"/>
            </w:pPr>
            <w:r>
              <w:rPr>
                <w:rFonts w:ascii="Consolas" w:cs="Consolas" w:eastAsia="Consolas" w:hAnsi="Consolas"/>
                <w:sz w:val="18"/>
                <w:szCs w:val="18"/>
              </w:rPr>
              <w:t xml:space="preserve">  "per_study_extraction": [</w:t>
            </w:r>
          </w:p>
          <w:p>
            <w:pPr>
              <w:spacing w:after="0"/>
            </w:pPr>
            <w:r>
              <w:rPr>
                <w:rFonts w:ascii="Consolas" w:cs="Consolas" w:eastAsia="Consolas" w:hAnsi="Consolas"/>
                <w:sz w:val="18"/>
                <w:szCs w:val="18"/>
              </w:rPr>
              <w:t xml:space="preserve">    { "citation": "", "outcome_measure": "", "effect_estimate": 0.0,</w:t>
            </w:r>
          </w:p>
          <w:p>
            <w:pPr>
              <w:spacing w:after="0"/>
            </w:pPr>
            <w:r>
              <w:rPr>
                <w:rFonts w:ascii="Consolas" w:cs="Consolas" w:eastAsia="Consolas" w:hAnsi="Consolas"/>
                <w:sz w:val="18"/>
                <w:szCs w:val="18"/>
              </w:rPr>
              <w:t xml:space="preserve">      "ci_lower": 0.0, "ci_upper": 0.0, "n_per_arm": "",</w:t>
            </w:r>
          </w:p>
          <w:p>
            <w:pPr>
              <w:spacing w:after="0"/>
            </w:pPr>
            <w:r>
              <w:rPr>
                <w:rFonts w:ascii="Consolas" w:cs="Consolas" w:eastAsia="Consolas" w:hAnsi="Consolas"/>
                <w:sz w:val="18"/>
                <w:szCs w:val="18"/>
              </w:rPr>
              <w:t xml:space="preserve">      "risk_of_bias": "",</w:t>
            </w:r>
          </w:p>
          <w:p>
            <w:pPr>
              <w:spacing w:after="0"/>
            </w:pPr>
            <w:r>
              <w:rPr>
                <w:rFonts w:ascii="Consolas" w:cs="Consolas" w:eastAsia="Consolas" w:hAnsi="Consolas"/>
                <w:sz w:val="18"/>
                <w:szCs w:val="18"/>
              </w:rPr>
              <w:t xml:space="preserve">      "extraction_confidence": "high|medium|low|unable_to_extract" }</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  "pooled_effect": { "measure": "", "estimate": 0.0, "ci_lower": 0.0,</w:t>
            </w:r>
          </w:p>
          <w:p>
            <w:pPr>
              <w:spacing w:after="0"/>
            </w:pPr>
            <w:r>
              <w:rPr>
                <w:rFonts w:ascii="Consolas" w:cs="Consolas" w:eastAsia="Consolas" w:hAnsi="Consolas"/>
                <w:sz w:val="18"/>
                <w:szCs w:val="18"/>
              </w:rPr>
              <w:t xml:space="preserve">                    "ci_upper": 0.0, "method": "" },</w:t>
            </w:r>
          </w:p>
          <w:p>
            <w:pPr>
              <w:spacing w:after="0"/>
            </w:pPr>
            <w:r>
              <w:rPr>
                <w:rFonts w:ascii="Consolas" w:cs="Consolas" w:eastAsia="Consolas" w:hAnsi="Consolas"/>
                <w:sz w:val="18"/>
                <w:szCs w:val="18"/>
              </w:rPr>
              <w:t xml:space="preserve">  "conclusion": ""</w:t>
            </w:r>
          </w:p>
          <w:p>
            <w:pPr>
              <w:spacing w:after="0"/>
            </w:pPr>
            <w:r>
              <w:rPr>
                <w:rFonts w:ascii="Consolas" w:cs="Consolas" w:eastAsia="Consolas" w:hAnsi="Consolas"/>
                <w:sz w:val="18"/>
                <w:szCs w:val="18"/>
              </w:rPr>
              <w:t xml:space="preserve">}</w:t>
            </w:r>
          </w:p>
        </w:tc>
      </w:tr>
    </w:tbl>
    <w:p>
      <w:pPr>
        <w:pStyle w:val="Heading1"/>
        <w:spacing w:after="140" w:before="320"/>
      </w:pPr>
      <w:r>
        <w:t xml:space="preserve">Design B — v2: Second-Reviewer / Extraction-Check Prompt (schema v2)</w:t>
      </w:r>
    </w:p>
    <w:p>
      <w:pPr>
        <w:spacing w:after="160"/>
      </w:pPr>
      <w:r>
        <w:rPr>
          <w:b/>
          <w:bCs/>
        </w:rPr>
        <w:t xml:space="preserve">RECOVERED VERBATIM — the actual Design B v2 prompt surfaced after manuscript preparation, superseding the earlier reconstructed version of this section. Task prompt text is NOT identical to v1, contrary to what this file previously stated: v2 added two explicit task instructions (items 2–3 below), not only two schema fields. Used natively in 5 of the 8 Design B runs (Results 3.1 / Table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2F2F2" w:val="clear"/>
            <w:tcMar>
              <w:top w:type="dxa" w:w="150"/>
              <w:left w:type="dxa" w:w="150"/>
              <w:bottom w:type="dxa" w:w="150"/>
              <w:right w:type="dxa" w:w="150"/>
            </w:tcMar>
          </w:tcPr>
          <w:p>
            <w:pPr>
              <w:spacing w:after="0"/>
            </w:pPr>
            <w:r>
              <w:rPr>
                <w:rFonts w:ascii="Consolas" w:cs="Consolas" w:eastAsia="Consolas" w:hAnsi="Consolas"/>
                <w:sz w:val="18"/>
                <w:szCs w:val="18"/>
              </w:rPr>
              <w:t xml:space="preserve">TASK (v2 — supersedes v1’s 4-item list with 6 items):</w:t>
            </w:r>
          </w:p>
          <w:p>
            <w:pPr>
              <w:spacing w:after="0"/>
            </w:pPr>
            <w:r>
              <w:rPr>
                <w:rFonts w:ascii="Consolas" w:cs="Consolas" w:eastAsia="Consolas" w:hAnsi="Consolas"/>
                <w:sz w:val="18"/>
                <w:szCs w:val="18"/>
              </w:rPr>
              <w:t xml:space="preserve"/>
            </w:r>
          </w:p>
          <w:p>
            <w:pPr>
              <w:spacing w:after="0"/>
            </w:pPr>
            <w:r>
              <w:rPr>
                <w:rFonts w:ascii="Consolas" w:cs="Consolas" w:eastAsia="Consolas" w:hAnsi="Consolas"/>
                <w:sz w:val="18"/>
                <w:szCs w:val="18"/>
              </w:rPr>
              <w:t xml:space="preserve">1. For each study listed above, independently extract: the outcome measure</w:t>
            </w:r>
          </w:p>
          <w:p>
            <w:pPr>
              <w:spacing w:after="0"/>
            </w:pPr>
            <w:r>
              <w:rPr>
                <w:rFonts w:ascii="Consolas" w:cs="Consolas" w:eastAsia="Consolas" w:hAnsi="Consolas"/>
                <w:sz w:val="18"/>
                <w:szCs w:val="18"/>
              </w:rPr>
              <w:t xml:space="preserve">   used, the effect size (e.g., OR/RR/HR/MD) and 95% CI as reported in that</w:t>
            </w:r>
          </w:p>
          <w:p>
            <w:pPr>
              <w:spacing w:after="0"/>
            </w:pPr>
            <w:r>
              <w:rPr>
                <w:rFonts w:ascii="Consolas" w:cs="Consolas" w:eastAsia="Consolas" w:hAnsi="Consolas"/>
                <w:sz w:val="18"/>
                <w:szCs w:val="18"/>
              </w:rPr>
              <w:t xml:space="preserve">   study, the sample size per arm, and the risk-of-bias judgment if the</w:t>
            </w:r>
          </w:p>
          <w:p>
            <w:pPr>
              <w:spacing w:after="0"/>
            </w:pPr>
            <w:r>
              <w:rPr>
                <w:rFonts w:ascii="Consolas" w:cs="Consolas" w:eastAsia="Consolas" w:hAnsi="Consolas"/>
                <w:sz w:val="18"/>
                <w:szCs w:val="18"/>
              </w:rPr>
              <w:t xml:space="preserve">   study reports one.</w:t>
            </w:r>
          </w:p>
          <w:p>
            <w:pPr>
              <w:spacing w:after="0"/>
            </w:pPr>
            <w:r>
              <w:rPr>
                <w:rFonts w:ascii="Consolas" w:cs="Consolas" w:eastAsia="Consolas" w:hAnsi="Consolas"/>
                <w:sz w:val="18"/>
                <w:szCs w:val="18"/>
              </w:rPr>
              <w:t xml:space="preserve"/>
            </w:r>
          </w:p>
          <w:p>
            <w:pPr>
              <w:spacing w:after="0"/>
            </w:pPr>
            <w:r>
              <w:rPr>
                <w:rFonts w:ascii="Consolas" w:cs="Consolas" w:eastAsia="Consolas" w:hAnsi="Consolas"/>
                <w:sz w:val="18"/>
                <w:szCs w:val="18"/>
              </w:rPr>
              <w:t xml:space="preserve">2. For each study, explicitly state where your extracted numbers came from:</w:t>
            </w:r>
          </w:p>
          <w:p>
            <w:pPr>
              <w:spacing w:after="0"/>
            </w:pPr>
            <w:r>
              <w:rPr>
                <w:rFonts w:ascii="Consolas" w:cs="Consolas" w:eastAsia="Consolas" w:hAnsi="Consolas"/>
                <w:sz w:val="18"/>
                <w:szCs w:val="18"/>
              </w:rPr>
              <w:t xml:space="preserve">   direct knowledge of the primary article itself, cross-checking against an</w:t>
            </w:r>
          </w:p>
          <w:p>
            <w:pPr>
              <w:spacing w:after="0"/>
            </w:pPr>
            <w:r>
              <w:rPr>
                <w:rFonts w:ascii="Consolas" w:cs="Consolas" w:eastAsia="Consolas" w:hAnsi="Consolas"/>
                <w:sz w:val="18"/>
                <w:szCs w:val="18"/>
              </w:rPr>
              <w:t xml:space="preserve">   independent secondary source (not the review being tested), a compiled</w:t>
            </w:r>
          </w:p>
          <w:p>
            <w:pPr>
              <w:spacing w:after="0"/>
            </w:pPr>
            <w:r>
              <w:rPr>
                <w:rFonts w:ascii="Consolas" w:cs="Consolas" w:eastAsia="Consolas" w:hAnsi="Consolas"/>
                <w:sz w:val="18"/>
                <w:szCs w:val="18"/>
              </w:rPr>
              <w:t xml:space="preserve">   secondary source (e.g. a table in another meta-analysis covering the same</w:t>
            </w:r>
          </w:p>
          <w:p>
            <w:pPr>
              <w:spacing w:after="0"/>
            </w:pPr>
            <w:r>
              <w:rPr>
                <w:rFonts w:ascii="Consolas" w:cs="Consolas" w:eastAsia="Consolas" w:hAnsi="Consolas"/>
                <w:sz w:val="18"/>
                <w:szCs w:val="18"/>
              </w:rPr>
              <w:t xml:space="preserve">   studies), or recall without verification. Do not blend these silently — if</w:t>
            </w:r>
          </w:p>
          <w:p>
            <w:pPr>
              <w:spacing w:after="0"/>
            </w:pPr>
            <w:r>
              <w:rPr>
                <w:rFonts w:ascii="Consolas" w:cs="Consolas" w:eastAsia="Consolas" w:hAnsi="Consolas"/>
                <w:sz w:val="18"/>
                <w:szCs w:val="18"/>
              </w:rPr>
              <w:t xml:space="preserve">   you drew on a compiled secondary source rather than the primary article,</w:t>
            </w:r>
          </w:p>
          <w:p>
            <w:pPr>
              <w:spacing w:after="0"/>
            </w:pPr>
            <w:r>
              <w:rPr>
                <w:rFonts w:ascii="Consolas" w:cs="Consolas" w:eastAsia="Consolas" w:hAnsi="Consolas"/>
                <w:sz w:val="18"/>
                <w:szCs w:val="18"/>
              </w:rPr>
              <w:t xml:space="preserve">   say so explicitly rather than presenting the number as if independently</w:t>
            </w:r>
          </w:p>
          <w:p>
            <w:pPr>
              <w:spacing w:after="0"/>
            </w:pPr>
            <w:r>
              <w:rPr>
                <w:rFonts w:ascii="Consolas" w:cs="Consolas" w:eastAsia="Consolas" w:hAnsi="Consolas"/>
                <w:sz w:val="18"/>
                <w:szCs w:val="18"/>
              </w:rPr>
              <w:t xml:space="preserve">   derived.</w:t>
            </w:r>
          </w:p>
          <w:p>
            <w:pPr>
              <w:spacing w:after="0"/>
            </w:pPr>
            <w:r>
              <w:rPr>
                <w:rFonts w:ascii="Consolas" w:cs="Consolas" w:eastAsia="Consolas" w:hAnsi="Consolas"/>
                <w:sz w:val="18"/>
                <w:szCs w:val="18"/>
              </w:rPr>
              <w:t xml:space="preserve"/>
            </w:r>
          </w:p>
          <w:p>
            <w:pPr>
              <w:spacing w:after="0"/>
            </w:pPr>
            <w:r>
              <w:rPr>
                <w:rFonts w:ascii="Consolas" w:cs="Consolas" w:eastAsia="Consolas" w:hAnsi="Consolas"/>
                <w:sz w:val="18"/>
                <w:szCs w:val="18"/>
              </w:rPr>
              <w:t xml:space="preserve">3. If, while extracting, you notice something that looks like an error or</w:t>
            </w:r>
          </w:p>
          <w:p>
            <w:pPr>
              <w:spacing w:after="0"/>
            </w:pPr>
            <w:r>
              <w:rPr>
                <w:rFonts w:ascii="Consolas" w:cs="Consolas" w:eastAsia="Consolas" w:hAnsi="Consolas"/>
                <w:sz w:val="18"/>
                <w:szCs w:val="18"/>
              </w:rPr>
              <w:t xml:space="preserve">   anomaly in the data itself (e.g. two different outcomes with suspiciously</w:t>
            </w:r>
          </w:p>
          <w:p>
            <w:pPr>
              <w:spacing w:after="0"/>
            </w:pPr>
            <w:r>
              <w:rPr>
                <w:rFonts w:ascii="Consolas" w:cs="Consolas" w:eastAsia="Consolas" w:hAnsi="Consolas"/>
                <w:sz w:val="18"/>
                <w:szCs w:val="18"/>
              </w:rPr>
              <w:t xml:space="preserve">   identical effect sizes and CIs, internally inconsistent numbers, or a</w:t>
            </w:r>
          </w:p>
          <w:p>
            <w:pPr>
              <w:spacing w:after="0"/>
            </w:pPr>
            <w:r>
              <w:rPr>
                <w:rFonts w:ascii="Consolas" w:cs="Consolas" w:eastAsia="Consolas" w:hAnsi="Consolas"/>
                <w:sz w:val="18"/>
                <w:szCs w:val="18"/>
              </w:rPr>
              <w:t xml:space="preserve">   result that doesn’t match the study’s stated design), flag it explicitly</w:t>
            </w:r>
          </w:p>
          <w:p>
            <w:pPr>
              <w:spacing w:after="0"/>
            </w:pPr>
            <w:r>
              <w:rPr>
                <w:rFonts w:ascii="Consolas" w:cs="Consolas" w:eastAsia="Consolas" w:hAnsi="Consolas"/>
                <w:sz w:val="18"/>
                <w:szCs w:val="18"/>
              </w:rPr>
              <w:t xml:space="preserve">   as a data quality concern rather than silently reproducing it.</w:t>
            </w:r>
          </w:p>
          <w:p>
            <w:pPr>
              <w:spacing w:after="0"/>
            </w:pPr>
            <w:r>
              <w:rPr>
                <w:rFonts w:ascii="Consolas" w:cs="Consolas" w:eastAsia="Consolas" w:hAnsi="Consolas"/>
                <w:sz w:val="18"/>
                <w:szCs w:val="18"/>
              </w:rPr>
              <w:t xml:space="preserve"/>
            </w:r>
          </w:p>
          <w:p>
            <w:pPr>
              <w:spacing w:after="0"/>
            </w:pPr>
            <w:r>
              <w:rPr>
                <w:rFonts w:ascii="Consolas" w:cs="Consolas" w:eastAsia="Consolas" w:hAnsi="Consolas"/>
                <w:sz w:val="18"/>
                <w:szCs w:val="18"/>
              </w:rPr>
              <w:t xml:space="preserve">4. Calculate a pooled effect estimate using an appropriate method; state</w:t>
            </w:r>
          </w:p>
          <w:p>
            <w:pPr>
              <w:spacing w:after="0"/>
            </w:pPr>
            <w:r>
              <w:rPr>
                <w:rFonts w:ascii="Consolas" w:cs="Consolas" w:eastAsia="Consolas" w:hAnsi="Consolas"/>
                <w:sz w:val="18"/>
                <w:szCs w:val="18"/>
              </w:rPr>
              <w:t xml:space="preserve">   which and why.</w:t>
            </w:r>
          </w:p>
          <w:p>
            <w:pPr>
              <w:spacing w:after="0"/>
            </w:pPr>
            <w:r>
              <w:rPr>
                <w:rFonts w:ascii="Consolas" w:cs="Consolas" w:eastAsia="Consolas" w:hAnsi="Consolas"/>
                <w:sz w:val="18"/>
                <w:szCs w:val="18"/>
              </w:rPr>
              <w:t xml:space="preserve"/>
            </w:r>
          </w:p>
          <w:p>
            <w:pPr>
              <w:spacing w:after="0"/>
            </w:pPr>
            <w:r>
              <w:rPr>
                <w:rFonts w:ascii="Consolas" w:cs="Consolas" w:eastAsia="Consolas" w:hAnsi="Consolas"/>
                <w:sz w:val="18"/>
                <w:szCs w:val="18"/>
              </w:rPr>
              <w:t xml:space="preserve">5. State your synthesized conclusion in 2-3 sentences.</w:t>
            </w:r>
          </w:p>
          <w:p>
            <w:pPr>
              <w:spacing w:after="0"/>
            </w:pPr>
            <w:r>
              <w:rPr>
                <w:rFonts w:ascii="Consolas" w:cs="Consolas" w:eastAsia="Consolas" w:hAnsi="Consolas"/>
                <w:sz w:val="18"/>
                <w:szCs w:val="18"/>
              </w:rPr>
              <w:t xml:space="preserve"/>
            </w:r>
          </w:p>
          <w:p>
            <w:pPr>
              <w:spacing w:after="0"/>
            </w:pPr>
            <w:r>
              <w:rPr>
                <w:rFonts w:ascii="Consolas" w:cs="Consolas" w:eastAsia="Consolas" w:hAnsi="Consolas"/>
                <w:sz w:val="18"/>
                <w:szCs w:val="18"/>
              </w:rPr>
              <w:t xml:space="preserve">6. If you cannot confidently extract data for a study, flag it as such</w:t>
            </w:r>
          </w:p>
          <w:p>
            <w:pPr>
              <w:spacing w:after="0"/>
            </w:pPr>
            <w:r>
              <w:rPr>
                <w:rFonts w:ascii="Consolas" w:cs="Consolas" w:eastAsia="Consolas" w:hAnsi="Consolas"/>
                <w:sz w:val="18"/>
                <w:szCs w:val="18"/>
              </w:rPr>
              <w:t xml:space="preserve">   rather than producing an unverified number.</w:t>
            </w:r>
          </w:p>
          <w:p>
            <w:pPr>
              <w:spacing w:after="0"/>
            </w:pPr>
            <w:r>
              <w:rPr>
                <w:rFonts w:ascii="Consolas" w:cs="Consolas" w:eastAsia="Consolas" w:hAnsi="Consolas"/>
                <w:sz w:val="18"/>
                <w:szCs w:val="18"/>
              </w:rPr>
              <w:t xml:space="preserve"/>
            </w:r>
          </w:p>
          <w:p>
            <w:pPr>
              <w:spacing w:after="0"/>
            </w:pPr>
            <w:r>
              <w:rPr>
                <w:rFonts w:ascii="Consolas" w:cs="Consolas" w:eastAsia="Consolas" w:hAnsi="Consolas"/>
                <w:sz w:val="18"/>
                <w:szCs w:val="18"/>
              </w:rPr>
              <w:t xml:space="preserve">OUTPUT FORMAT (v2) — respond with a single JSON object matching this schema:</w:t>
            </w:r>
          </w:p>
          <w:p>
            <w:pPr>
              <w:spacing w:after="0"/>
            </w:pPr>
            <w:r>
              <w:rPr>
                <w:rFonts w:ascii="Consolas" w:cs="Consolas" w:eastAsia="Consolas" w:hAnsi="Consolas"/>
                <w:sz w:val="18"/>
                <w:szCs w:val="18"/>
              </w:rPr>
              <w:t xml:space="preserve">{</w:t>
            </w:r>
          </w:p>
          <w:p>
            <w:pPr>
              <w:spacing w:after="0"/>
            </w:pPr>
            <w:r>
              <w:rPr>
                <w:rFonts w:ascii="Consolas" w:cs="Consolas" w:eastAsia="Consolas" w:hAnsi="Consolas"/>
                <w:sz w:val="18"/>
                <w:szCs w:val="18"/>
              </w:rPr>
              <w:t xml:space="preserve">  "per_study_extraction": [</w:t>
            </w:r>
          </w:p>
          <w:p>
            <w:pPr>
              <w:spacing w:after="0"/>
            </w:pPr>
            <w:r>
              <w:rPr>
                <w:rFonts w:ascii="Consolas" w:cs="Consolas" w:eastAsia="Consolas" w:hAnsi="Consolas"/>
                <w:sz w:val="18"/>
                <w:szCs w:val="18"/>
              </w:rPr>
              <w:t xml:space="preserve">    { "citation": "", "outcome_measure": "", "effect_estimate": 0.0,</w:t>
            </w:r>
          </w:p>
          <w:p>
            <w:pPr>
              <w:spacing w:after="0"/>
            </w:pPr>
            <w:r>
              <w:rPr>
                <w:rFonts w:ascii="Consolas" w:cs="Consolas" w:eastAsia="Consolas" w:hAnsi="Consolas"/>
                <w:sz w:val="18"/>
                <w:szCs w:val="18"/>
              </w:rPr>
              <w:t xml:space="preserve">      "ci_lower": 0.0, "ci_upper": 0.0, "n_per_arm": "",</w:t>
            </w:r>
          </w:p>
          <w:p>
            <w:pPr>
              <w:spacing w:after="0"/>
            </w:pPr>
            <w:r>
              <w:rPr>
                <w:rFonts w:ascii="Consolas" w:cs="Consolas" w:eastAsia="Consolas" w:hAnsi="Consolas"/>
                <w:sz w:val="18"/>
                <w:szCs w:val="18"/>
              </w:rPr>
              <w:t xml:space="preserve">      "risk_of_bias": "",</w:t>
            </w:r>
          </w:p>
          <w:p>
            <w:pPr>
              <w:spacing w:after="0"/>
            </w:pPr>
            <w:r>
              <w:rPr>
                <w:rFonts w:ascii="Consolas" w:cs="Consolas" w:eastAsia="Consolas" w:hAnsi="Consolas"/>
                <w:sz w:val="18"/>
                <w:szCs w:val="18"/>
              </w:rPr>
              <w:t xml:space="preserve">      "extraction_confidence": "high|medium|low|unable_to_extract",</w:t>
            </w:r>
          </w:p>
          <w:p>
            <w:pPr>
              <w:spacing w:after="0"/>
            </w:pPr>
            <w:r>
              <w:rPr>
                <w:rFonts w:ascii="Consolas" w:cs="Consolas" w:eastAsia="Consolas" w:hAnsi="Consolas"/>
                <w:sz w:val="18"/>
                <w:szCs w:val="18"/>
              </w:rPr>
              <w:t xml:space="preserve">      "sourcing_basis":</w:t>
            </w:r>
          </w:p>
          <w:p>
            <w:pPr>
              <w:spacing w:after="0"/>
            </w:pPr>
            <w:r>
              <w:rPr>
                <w:rFonts w:ascii="Consolas" w:cs="Consolas" w:eastAsia="Consolas" w:hAnsi="Consolas"/>
                <w:sz w:val="18"/>
                <w:szCs w:val="18"/>
              </w:rPr>
              <w:t xml:space="preserve">        "primary_source_verified|cross_checked_independent|</w:t>
            </w:r>
          </w:p>
          <w:p>
            <w:pPr>
              <w:spacing w:after="0"/>
            </w:pPr>
            <w:r>
              <w:rPr>
                <w:rFonts w:ascii="Consolas" w:cs="Consolas" w:eastAsia="Consolas" w:hAnsi="Consolas"/>
                <w:sz w:val="18"/>
                <w:szCs w:val="18"/>
              </w:rPr>
              <w:t xml:space="preserve">         secondary_compilation|training_recall_only|unable_to_determine",</w:t>
            </w:r>
          </w:p>
          <w:p>
            <w:pPr>
              <w:spacing w:after="0"/>
            </w:pPr>
            <w:r>
              <w:rPr>
                <w:rFonts w:ascii="Consolas" w:cs="Consolas" w:eastAsia="Consolas" w:hAnsi="Consolas"/>
                <w:sz w:val="18"/>
                <w:szCs w:val="18"/>
              </w:rPr>
              <w:t xml:space="preserve">      "data_quality_flag": "" }</w:t>
            </w:r>
          </w:p>
          <w:p>
            <w:pPr>
              <w:spacing w:after="0"/>
            </w:pPr>
            <w:r>
              <w:rPr>
                <w:rFonts w:ascii="Consolas" w:cs="Consolas" w:eastAsia="Consolas" w:hAnsi="Consolas"/>
                <w:sz w:val="18"/>
                <w:szCs w:val="18"/>
              </w:rPr>
              <w:t xml:space="preserve">  ],</w:t>
            </w:r>
          </w:p>
          <w:p>
            <w:pPr>
              <w:spacing w:after="0"/>
            </w:pPr>
            <w:r>
              <w:rPr>
                <w:rFonts w:ascii="Consolas" w:cs="Consolas" w:eastAsia="Consolas" w:hAnsi="Consolas"/>
                <w:sz w:val="18"/>
                <w:szCs w:val="18"/>
              </w:rPr>
              <w:t xml:space="preserve">  "pooled_effect": { "measure": "", "estimate": 0.0, "ci_lower": 0.0,</w:t>
            </w:r>
          </w:p>
          <w:p>
            <w:pPr>
              <w:spacing w:after="0"/>
            </w:pPr>
            <w:r>
              <w:rPr>
                <w:rFonts w:ascii="Consolas" w:cs="Consolas" w:eastAsia="Consolas" w:hAnsi="Consolas"/>
                <w:sz w:val="18"/>
                <w:szCs w:val="18"/>
              </w:rPr>
              <w:t xml:space="preserve">                    "ci_upper": 0.0, "method": "" },</w:t>
            </w:r>
          </w:p>
          <w:p>
            <w:pPr>
              <w:spacing w:after="0"/>
            </w:pPr>
            <w:r>
              <w:rPr>
                <w:rFonts w:ascii="Consolas" w:cs="Consolas" w:eastAsia="Consolas" w:hAnsi="Consolas"/>
                <w:sz w:val="18"/>
                <w:szCs w:val="18"/>
              </w:rPr>
              <w:t xml:space="preserve">  "conclusion": ""</w:t>
            </w:r>
          </w:p>
          <w:p>
            <w:pPr>
              <w:spacing w:after="0"/>
            </w:pPr>
            <w:r>
              <w:rPr>
                <w:rFonts w:ascii="Consolas" w:cs="Consolas" w:eastAsia="Consolas" w:hAnsi="Consolas"/>
                <w:sz w:val="18"/>
                <w:szCs w:val="18"/>
              </w:rPr>
              <w:t xml:space="preserve">}</w:t>
            </w:r>
          </w:p>
          <w:p>
            <w:pPr>
              <w:spacing w:after="0"/>
            </w:pPr>
            <w:r>
              <w:rPr>
                <w:rFonts w:ascii="Consolas" w:cs="Consolas" w:eastAsia="Consolas" w:hAnsi="Consolas"/>
                <w:sz w:val="18"/>
                <w:szCs w:val="18"/>
              </w:rPr>
              <w:t xml:space="preserve"/>
            </w:r>
          </w:p>
          <w:p>
            <w:pPr>
              <w:spacing w:after="0"/>
            </w:pPr>
            <w:r>
              <w:rPr>
                <w:rFonts w:ascii="Consolas" w:cs="Consolas" w:eastAsia="Consolas" w:hAnsi="Consolas"/>
                <w:sz w:val="18"/>
                <w:szCs w:val="18"/>
              </w:rPr>
              <w:t xml:space="preserve">sourcing_basis values (v2, recovered — five values, not four as previously</w:t>
            </w:r>
          </w:p>
          <w:p>
            <w:pPr>
              <w:spacing w:after="0"/>
            </w:pPr>
            <w:r>
              <w:rPr>
                <w:rFonts w:ascii="Consolas" w:cs="Consolas" w:eastAsia="Consolas" w:hAnsi="Consolas"/>
                <w:sz w:val="18"/>
                <w:szCs w:val="18"/>
              </w:rPr>
              <w:t xml:space="preserve">reconstructed):</w:t>
            </w:r>
          </w:p>
          <w:p>
            <w:pPr>
              <w:spacing w:after="0"/>
            </w:pPr>
            <w:r>
              <w:rPr>
                <w:rFonts w:ascii="Consolas" w:cs="Consolas" w:eastAsia="Consolas" w:hAnsi="Consolas"/>
                <w:sz w:val="18"/>
                <w:szCs w:val="18"/>
              </w:rPr>
              <w:t xml:space="preserve">  primary_source_verified, cross_checked_independent, secondary_compilation,</w:t>
            </w:r>
          </w:p>
          <w:p>
            <w:pPr>
              <w:spacing w:after="0"/>
            </w:pPr>
            <w:r>
              <w:rPr>
                <w:rFonts w:ascii="Consolas" w:cs="Consolas" w:eastAsia="Consolas" w:hAnsi="Consolas"/>
                <w:sz w:val="18"/>
                <w:szCs w:val="18"/>
              </w:rPr>
              <w:t xml:space="preserve">  training_recall_only, unable_to_determine — names are self-explanatory and</w:t>
            </w:r>
          </w:p>
          <w:p>
            <w:pPr>
              <w:spacing w:after="0"/>
            </w:pPr>
            <w:r>
              <w:rPr>
                <w:rFonts w:ascii="Consolas" w:cs="Consolas" w:eastAsia="Consolas" w:hAnsi="Consolas"/>
                <w:sz w:val="18"/>
                <w:szCs w:val="18"/>
              </w:rPr>
              <w:t xml:space="preserve">  used verbatim in the recovered file; no separate prose definitions were</w:t>
            </w:r>
          </w:p>
          <w:p>
            <w:pPr>
              <w:spacing w:after="0"/>
            </w:pPr>
            <w:r>
              <w:rPr>
                <w:rFonts w:ascii="Consolas" w:cs="Consolas" w:eastAsia="Consolas" w:hAnsi="Consolas"/>
                <w:sz w:val="18"/>
                <w:szCs w:val="18"/>
              </w:rPr>
              <w:t xml:space="preserve">  given for each value in the source prompt.</w:t>
            </w:r>
          </w:p>
          <w:p>
            <w:pPr>
              <w:spacing w:after="0"/>
            </w:pPr>
            <w:r>
              <w:rPr>
                <w:rFonts w:ascii="Consolas" w:cs="Consolas" w:eastAsia="Consolas" w:hAnsi="Consolas"/>
                <w:sz w:val="18"/>
                <w:szCs w:val="18"/>
              </w:rPr>
              <w:t xml:space="preserve"/>
            </w:r>
          </w:p>
          <w:p>
            <w:pPr>
              <w:spacing w:after="0"/>
            </w:pPr>
            <w:r>
              <w:rPr>
                <w:rFonts w:ascii="Consolas" w:cs="Consolas" w:eastAsia="Consolas" w:hAnsi="Consolas"/>
                <w:sz w:val="18"/>
                <w:szCs w:val="18"/>
              </w:rPr>
              <w:t xml:space="preserve">data_quality_flag (v2, recovered): a free-text string field, NOT an enum as</w:t>
            </w:r>
          </w:p>
          <w:p>
            <w:pPr>
              <w:spacing w:after="0"/>
            </w:pPr>
            <w:r>
              <w:rPr>
                <w:rFonts w:ascii="Consolas" w:cs="Consolas" w:eastAsia="Consolas" w:hAnsi="Consolas"/>
                <w:sz w:val="18"/>
                <w:szCs w:val="18"/>
              </w:rPr>
              <w:t xml:space="preserve">previously reconstructed (“none|suspected_source_data_error”). The model is</w:t>
            </w:r>
          </w:p>
          <w:p>
            <w:pPr>
              <w:spacing w:after="0"/>
            </w:pPr>
            <w:r>
              <w:rPr>
                <w:rFonts w:ascii="Consolas" w:cs="Consolas" w:eastAsia="Consolas" w:hAnsi="Consolas"/>
                <w:sz w:val="18"/>
                <w:szCs w:val="18"/>
              </w:rPr>
              <w:t xml:space="preserve">asked in Task item 3 above to describe any suspected source-data anomaly in</w:t>
            </w:r>
          </w:p>
          <w:p>
            <w:pPr>
              <w:spacing w:after="0"/>
            </w:pPr>
            <w:r>
              <w:rPr>
                <w:rFonts w:ascii="Consolas" w:cs="Consolas" w:eastAsia="Consolas" w:hAnsi="Consolas"/>
                <w:sz w:val="18"/>
                <w:szCs w:val="18"/>
              </w:rPr>
              <w:t xml:space="preserve">its own words, rather than choose from fixed categories.</w:t>
            </w:r>
          </w:p>
        </w:tc>
      </w:tr>
    </w:tbl>
    <w:p>
      <w:pPr>
        <w:pStyle w:val="Heading1"/>
        <w:spacing w:after="140" w:before="320"/>
      </w:pPr>
      <w:r>
        <w:t xml:space="preserve">Notes on prompt design choices</w:t>
      </w:r>
    </w:p>
    <w:p>
      <w:pPr>
        <w:pStyle w:val="ListParagraph"/>
        <w:numPr>
          <w:ilvl w:val="0"/>
          <w:numId w:val="2"/>
        </w:numPr>
        <w:spacing w:after="80"/>
      </w:pPr>
      <w:r>
        <w:t xml:space="preserve">Both prompts explicitly forbid confident fabrication and require flagging uncertainty — this is deliberate and testable in itself: a secondary outcome worth tracking is whether the model actually uses the “flag uncertainty” affordance it’s given, versus defaulting to confident-sounding output regardless of instruction.</w:t>
      </w:r>
    </w:p>
    <w:p>
      <w:pPr>
        <w:pStyle w:val="ListParagraph"/>
        <w:numPr>
          <w:ilvl w:val="0"/>
          <w:numId w:val="2"/>
        </w:numPr>
        <w:spacing w:after="80"/>
      </w:pPr>
      <w:r>
        <w:t xml:space="preserve">Design B’s framing (“treat each citation as real, verified”) is deliberate — it isolates extraction/synthesis skill from the separate question of whether the model would have found and trusted that citation on its own, which is Design A’s job, not Design B’s.</w:t>
      </w:r>
    </w:p>
    <w:p>
      <w:pPr>
        <w:pStyle w:val="ListParagraph"/>
        <w:numPr>
          <w:ilvl w:val="0"/>
          <w:numId w:val="2"/>
        </w:numPr>
        <w:spacing w:after="80"/>
      </w:pPr>
      <w:r>
        <w:t xml:space="preserve">The JSON schema is intentionally identical in spirit across both designs (pooled_effect, conclusion, structured per-study fields) so scoring code can reuse the same comparison logic for both designs, only differing in how the study list was sourced.</w:t>
      </w:r>
    </w:p>
    <w:p>
      <w:pPr>
        <w:pStyle w:val="ListParagraph"/>
        <w:numPr>
          <w:ilvl w:val="0"/>
          <w:numId w:val="2"/>
        </w:numPr>
        <w:spacing w:after="80"/>
      </w:pPr>
      <w:r>
        <w:t xml:space="preserve">Reference list hallucination check (Design A only): cross-verify every entry in reference_list against a real bibliographic database (e.g., PubMed/Crossref lookup by title+author+year) to compute the hallucination rate defined in Protocol Section 4.</w:t>
      </w:r>
    </w:p>
    <w:p>
      <w:pPr>
        <w:pStyle w:val="ListParagraph"/>
        <w:numPr>
          <w:ilvl w:val="0"/>
          <w:numId w:val="2"/>
        </w:numPr>
        <w:spacing w:after="80"/>
      </w:pPr>
      <w:r>
        <w:t xml:space="preserve">Design A v1 vs v2 cutoff discrepancy (2019-12-31 vs 2019-07-25): this was not a deliberate manipulation but does mean the no-retrieval and retrieval-enabled conditions were not run under identical cutoff instructions — disclosed in the manuscript’s Limitations (Section 5) rather than corrected retroactively, since this file's purpose is to record what was actually run. Post hoc note: the target review (Feistritzer et al. 2020) disclosed in its own Methods that it manually added the COMPLETE trial (Mehta et al. 2019) immediately after publication, as an explicit exception to its database search cutoff. Neither v1's nor v2's cutoff instruction was designed to capture that exception; see the manuscript's Section 2.2, 3.3, and Section 5 for the corrected explanation this implies for Mehta et al.'s classification.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2026-07-16T16:23:36.253Z</dcterms:created>
  <dcterms:modified xsi:type="dcterms:W3CDTF">2026-07-16T16:23:36.263Z</dcterms:modified>
</cp:coreProperties>
</file>

<file path=docProps/custom.xml><?xml version="1.0" encoding="utf-8"?>
<Properties xmlns="http://schemas.openxmlformats.org/officeDocument/2006/custom-properties" xmlns:vt="http://schemas.openxmlformats.org/officeDocument/2006/docPropsVTypes"/>
</file>