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76AD1" w14:textId="77777777" w:rsidR="00EC4B75" w:rsidRDefault="00E37C2C">
      <w:pPr>
        <w:spacing w:after="200"/>
      </w:pPr>
      <w:r>
        <w:rPr>
          <w:rFonts w:ascii="Times New Roman" w:hAnsi="Times New Roman" w:eastAsia="Times New Roman"/>
          <w:b/>
          <w:bCs/>
          <w:sz w:val="20"/>
          <w:szCs w:val="28"/>
        </w:rPr>
        <w:t>STROBE Checklist for Cross-Sectional Studies</w:t>
      </w:r>
    </w:p>
    <w:p w14:paraId="32D9B15D" w14:textId="77777777" w:rsidR="00EC4B75" w:rsidRDefault="00E37C2C">
      <w:pPr>
        <w:spacing w:after="80"/>
      </w:pPr>
      <w:r>
        <w:rPr>
          <w:rFonts w:ascii="Times New Roman" w:hAnsi="Times New Roman" w:eastAsia="Times New Roman"/>
          <w:sz w:val="20"/>
        </w:rPr>
        <w:t>Manuscript: Attitudes Toward Professional Mental Health Help-Seeking Among Medical Students and Recent Medical Graduates in Iraq: A Cross-Sectional Study</w:t>
      </w:r>
    </w:p>
    <w:p w14:paraId="647603AA" w14:textId="77777777" w:rsidR="00EC4B75" w:rsidRDefault="00E37C2C">
      <w:pPr>
        <w:spacing w:after="80"/>
      </w:pPr>
      <w:r>
        <w:rPr>
          <w:rFonts w:ascii="Times New Roman" w:hAnsi="Times New Roman" w:eastAsia="Times New Roman"/>
          <w:sz w:val="20"/>
        </w:rPr>
        <w:t>Journal: Discover Mental Health (Springer Nature)</w:t>
      </w:r>
    </w:p>
    <w:p w14:paraId="1E778A85" w14:textId="77777777" w:rsidR="00EC4B75" w:rsidRDefault="00E37C2C">
      <w:pPr>
        <w:spacing w:after="80"/>
      </w:pPr>
      <w:r>
        <w:rPr>
          <w:rFonts w:ascii="Times New Roman" w:hAnsi="Times New Roman" w:eastAsia="Times New Roman"/>
          <w:sz w:val="20"/>
        </w:rPr>
        <w:t xml:space="preserve">Authors: Mahdi S. </w:t>
      </w:r>
      <w:proofErr w:type="spellStart"/>
      <w:r>
        <w:rPr>
          <w:rFonts w:ascii="Times New Roman" w:hAnsi="Times New Roman" w:eastAsia="Times New Roman"/>
          <w:sz w:val="20"/>
        </w:rPr>
        <w:t>Balasim</w:t>
      </w:r>
      <w:proofErr w:type="spellEnd"/>
      <w:r>
        <w:rPr>
          <w:rFonts w:ascii="Times New Roman" w:hAnsi="Times New Roman" w:eastAsia="Times New Roman"/>
          <w:sz w:val="20"/>
        </w:rPr>
        <w:t xml:space="preserve">; </w:t>
      </w:r>
      <w:proofErr w:type="spellStart"/>
      <w:r>
        <w:rPr>
          <w:rFonts w:ascii="Times New Roman" w:hAnsi="Times New Roman" w:eastAsia="Times New Roman"/>
          <w:sz w:val="20"/>
        </w:rPr>
        <w:t>Ashwan</w:t>
      </w:r>
      <w:proofErr w:type="spellEnd"/>
      <w:r>
        <w:rPr>
          <w:rFonts w:ascii="Times New Roman" w:hAnsi="Times New Roman" w:eastAsia="Times New Roman"/>
          <w:sz w:val="20"/>
        </w:rPr>
        <w:t xml:space="preserve"> A</w:t>
      </w:r>
      <w:r>
        <w:rPr>
          <w:rFonts w:ascii="Times New Roman" w:hAnsi="Times New Roman" w:eastAsia="Times New Roman"/>
          <w:sz w:val="20"/>
        </w:rPr>
        <w:t>. Hashim</w:t>
      </w:r>
    </w:p>
    <w:p w14:paraId="6B09CA29" w14:textId="77777777" w:rsidR="00EC4B75" w:rsidRDefault="00E37C2C">
      <w:pPr>
        <w:spacing w:after="200"/>
      </w:pPr>
      <w:r>
        <w:rPr>
          <w:rFonts w:ascii="Times New Roman" w:hAnsi="Times New Roman" w:eastAsia="Times New Roman"/>
          <w:i/>
          <w:iCs/>
          <w:sz w:val="20"/>
          <w:szCs w:val="18"/>
        </w:rPr>
        <w:t xml:space="preserve">Checklist source: von Elm E, Altman DG, Egger M, Pocock SJ, </w:t>
      </w:r>
      <w:proofErr w:type="spellStart"/>
      <w:r>
        <w:rPr>
          <w:rFonts w:ascii="Times New Roman" w:hAnsi="Times New Roman" w:eastAsia="Times New Roman"/>
          <w:i/>
          <w:iCs/>
          <w:sz w:val="20"/>
          <w:szCs w:val="18"/>
        </w:rPr>
        <w:t>Gøtzsche</w:t>
      </w:r>
      <w:proofErr w:type="spellEnd"/>
      <w:r>
        <w:rPr>
          <w:rFonts w:ascii="Times New Roman" w:hAnsi="Times New Roman" w:eastAsia="Times New Roman"/>
          <w:i/>
          <w:iCs/>
          <w:sz w:val="20"/>
          <w:szCs w:val="18"/>
        </w:rPr>
        <w:t xml:space="preserve"> PC, </w:t>
      </w:r>
      <w:proofErr w:type="spellStart"/>
      <w:r>
        <w:rPr>
          <w:rFonts w:ascii="Times New Roman" w:hAnsi="Times New Roman" w:eastAsia="Times New Roman"/>
          <w:i/>
          <w:iCs/>
          <w:sz w:val="20"/>
          <w:szCs w:val="18"/>
        </w:rPr>
        <w:t>Vandenbroucke</w:t>
      </w:r>
      <w:proofErr w:type="spellEnd"/>
      <w:r>
        <w:rPr>
          <w:rFonts w:ascii="Times New Roman" w:hAnsi="Times New Roman" w:eastAsia="Times New Roman"/>
          <w:i/>
          <w:iCs/>
          <w:sz w:val="20"/>
          <w:szCs w:val="18"/>
        </w:rPr>
        <w:t xml:space="preserve"> JP; STROBE Initiative. The Strengthening the Reporting of Observational Studies in Epidemiology (STROBE) statement: guidelines for reporting observational studi</w:t>
      </w:r>
      <w:r>
        <w:rPr>
          <w:rFonts w:ascii="Times New Roman" w:hAnsi="Times New Roman" w:eastAsia="Times New Roman"/>
          <w:i/>
          <w:iCs/>
          <w:sz w:val="20"/>
          <w:szCs w:val="18"/>
        </w:rPr>
        <w:t xml:space="preserve">es. </w:t>
      </w:r>
      <w:proofErr w:type="spellStart"/>
      <w:r>
        <w:rPr>
          <w:rFonts w:ascii="Times New Roman" w:hAnsi="Times New Roman" w:eastAsia="Times New Roman"/>
          <w:i/>
          <w:iCs/>
          <w:sz w:val="20"/>
          <w:szCs w:val="18"/>
        </w:rPr>
        <w:t>PLoS</w:t>
      </w:r>
      <w:proofErr w:type="spellEnd"/>
      <w:r>
        <w:rPr>
          <w:rFonts w:ascii="Times New Roman" w:hAnsi="Times New Roman" w:eastAsia="Times New Roman"/>
          <w:i/>
          <w:iCs/>
          <w:sz w:val="20"/>
          <w:szCs w:val="18"/>
        </w:rPr>
        <w:t xml:space="preserve"> Med. 2007;4(10</w:t>
      </w:r>
      <w:proofErr w:type="gramStart"/>
      <w:r>
        <w:rPr>
          <w:rFonts w:ascii="Times New Roman" w:hAnsi="Times New Roman" w:eastAsia="Times New Roman"/>
          <w:i/>
          <w:iCs/>
          <w:sz w:val="20"/>
          <w:szCs w:val="18"/>
        </w:rPr>
        <w:t>):e</w:t>
      </w:r>
      <w:proofErr w:type="gramEnd"/>
      <w:r>
        <w:rPr>
          <w:rFonts w:ascii="Times New Roman" w:hAnsi="Times New Roman" w:eastAsia="Times New Roman"/>
          <w:i/>
          <w:iCs/>
          <w:sz w:val="20"/>
          <w:szCs w:val="18"/>
        </w:rPr>
        <w:t>296. https://doi.org/10.1371/journal.pmed.0040296</w:t>
      </w:r>
    </w:p>
    <w:tbl>
      <w:tblPr>
        <w:tblW w:w="9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9"/>
        <w:gridCol w:w="571"/>
        <w:gridCol w:w="2316"/>
        <w:gridCol w:w="991"/>
        <w:gridCol w:w="565"/>
        <w:gridCol w:w="2404"/>
      </w:tblGrid>
      <w:tr w:rsidR="00EC4B75" w14:paraId="48E746A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9D696C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color w:val="FFFFFF"/>
                <w:sz w:val="16"/>
                <w:szCs w:val="18"/>
              </w:rPr>
              <w:t>Section/Topic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E24F0B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color w:val="FFFFFF"/>
                <w:sz w:val="16"/>
                <w:szCs w:val="18"/>
              </w:rPr>
              <w:t>Item No.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FF27C0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color w:val="FFFFFF"/>
                <w:sz w:val="16"/>
                <w:szCs w:val="18"/>
              </w:rPr>
              <w:t>Recommendation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A4A08D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color w:val="FFFFFF"/>
                <w:sz w:val="16"/>
                <w:szCs w:val="18"/>
              </w:rPr>
              <w:t>Reported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B03D14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color w:val="FFFFFF"/>
                <w:sz w:val="16"/>
                <w:szCs w:val="18"/>
              </w:rPr>
              <w:t>N/A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240BD8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color w:val="FFFFFF"/>
                <w:sz w:val="16"/>
                <w:szCs w:val="18"/>
              </w:rPr>
              <w:t>Location in manuscript</w:t>
            </w:r>
          </w:p>
        </w:tc>
      </w:tr>
      <w:tr w:rsidR="00EC4B75" w14:paraId="6488187C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4F7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8EE8DB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TITLE AND ABSTRACT</w:t>
            </w:r>
          </w:p>
        </w:tc>
      </w:tr>
      <w:tr w:rsidR="00EC4B75" w14:paraId="32F8CC39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2041DC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Title and abstract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8B7594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1a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2A94BF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Indicate the study's design with a commonly used term in the title or the abstract.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991F1A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4B1FBC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0D295E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Title page; Abstract (Methods)</w:t>
            </w:r>
          </w:p>
        </w:tc>
      </w:tr>
      <w:tr w:rsidR="00EC4B75" w14:paraId="0769B129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BF6EB7" w14:textId="77777777" w:rsidR="00EC4B75" w:rsidRDefault="00EC4B75">
            <w:pPr>
              <w:spacing w:after="0"/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072B51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1b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1564D2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Provide in the abstract an informative and balanced summary of what was done and what was found.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C98E14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5C5B2D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2292E1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Abstract (Background/Objective, Methods, Results, Conclusions)</w:t>
            </w:r>
          </w:p>
        </w:tc>
      </w:tr>
      <w:tr w:rsidR="00EC4B75" w14:paraId="263F1897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4F7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BE2930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INTRODUCTION</w:t>
            </w:r>
          </w:p>
        </w:tc>
      </w:tr>
      <w:tr w:rsidR="00EC4B75" w14:paraId="0255A8AC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9F1FF6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Background/rationale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9A08AB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2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4B5BF6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Explain the scientific background and rationale for the investigation being reported.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13F662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DFFDEC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1D04FF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Introduction, paragraphs 1–4</w:t>
            </w:r>
          </w:p>
        </w:tc>
      </w:tr>
      <w:tr w:rsidR="00EC4B75" w14:paraId="612DA8F9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348688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Objectives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19E428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3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52875C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State specific objectives, including any prespecified hypotheses.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1F8A13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00B07A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7F0D49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Introduction, final paragraph</w:t>
            </w:r>
          </w:p>
        </w:tc>
      </w:tr>
      <w:tr w:rsidR="00EC4B75" w14:paraId="48462117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4F7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B83140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METHODS</w:t>
            </w:r>
          </w:p>
        </w:tc>
      </w:tr>
      <w:tr w:rsidR="00EC4B75" w14:paraId="751AF18F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705C14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Study design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893440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4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A62B94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Present key elements of study design early in the paper.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E2ACAD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074681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28C503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Methods: Study design</w:t>
            </w:r>
          </w:p>
        </w:tc>
      </w:tr>
      <w:tr w:rsidR="00EC4B75" w14:paraId="26ABCDC9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B1E340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lastRenderedPageBreak/>
              <w:t>Setting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67E219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5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599660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Describe the setting, locations, and relevant dates, including periods of recruitment, exposure, follow-up, and data collection.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EAAAAE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A2ABD4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6BCF4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Methods: Study setting; Data collection (March 2025–February 2026)</w:t>
            </w:r>
          </w:p>
        </w:tc>
      </w:tr>
      <w:tr w:rsidR="00EC4B75" w14:paraId="1576C79F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025623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Participants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AF4671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6a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2E530F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Cross-sectional: Give the eligibility cr</w:t>
            </w:r>
            <w:r>
              <w:rPr>
                <w:rFonts w:ascii="Times New Roman" w:hAnsi="Times New Roman" w:eastAsia="Times New Roman"/>
                <w:sz w:val="16"/>
              </w:rPr>
              <w:t>iteria, and the sources and methods of selection of participants.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3569F2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2E60B9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418421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Methods: Study population; Sampling; Eligibility criteria</w:t>
            </w:r>
          </w:p>
        </w:tc>
      </w:tr>
      <w:tr w:rsidR="00EC4B75" w14:paraId="1E3E95C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D4EC3E" w14:textId="77777777" w:rsidR="00EC4B75" w:rsidRDefault="00EC4B75">
            <w:pPr>
              <w:spacing w:after="0"/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77B2F4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6b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192FD4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Cross-sectional: For matched studies, give matching criteria and number of exposed and unexposed.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4CB526" w14:textId="77777777" w:rsidR="00EC4B75" w:rsidRDefault="00EC4B75">
            <w:pPr>
              <w:spacing w:after="0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CE6A8B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DA1403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Not a matched study</w:t>
            </w:r>
          </w:p>
        </w:tc>
      </w:tr>
      <w:tr w:rsidR="00EC4B75" w14:paraId="47C66AE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05A3BA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Variables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66F0A3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7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2A5D6E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Clearly define all outcomes, exposures, predictors, potential confounders, and effect modifiers. Give diagnostic criteria,</w:t>
            </w:r>
            <w:r>
              <w:rPr>
                <w:rFonts w:ascii="Times New Roman" w:hAnsi="Times New Roman" w:eastAsia="Times New Roman"/>
                <w:sz w:val="16"/>
              </w:rPr>
              <w:t xml:space="preserve"> if applicable.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4F11FE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71E643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9B5987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Methods: Study instrument (IASMHS subscales); sociodemographic variables described</w:t>
            </w:r>
          </w:p>
        </w:tc>
      </w:tr>
      <w:tr w:rsidR="00EC4B75" w14:paraId="35BF0FDF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0112F7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Data sources/measurement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4153CA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8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383FDA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For each variable of interest, give sources of data and details of methods of assessment (measurement). Describe comparability of assessment methods if there is more than one group.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F6755F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019BEC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C7817B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Methods: Study instrument; Scoring</w:t>
            </w:r>
          </w:p>
        </w:tc>
      </w:tr>
      <w:tr w:rsidR="00EC4B75" w14:paraId="3B83447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D09CB9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Bias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1966AF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9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851C9E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Describe any efforts to addr</w:t>
            </w:r>
            <w:r>
              <w:rPr>
                <w:rFonts w:ascii="Times New Roman" w:hAnsi="Times New Roman" w:eastAsia="Times New Roman"/>
                <w:sz w:val="16"/>
              </w:rPr>
              <w:t>ess potential sources of bias.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A7B974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829219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2BA5C6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Methods: Data collection (electronic consent; sign-in required); Limitations (social desirability bias acknowledged)</w:t>
            </w:r>
          </w:p>
        </w:tc>
      </w:tr>
      <w:tr w:rsidR="00EC4B75" w14:paraId="7ECC571B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E76C04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lastRenderedPageBreak/>
              <w:t>Study size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27B1EB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E13D65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Explain how the study size was arrived at.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Methods: Sampling (all complete, eligible, non-pilot submissions received during the prespecified data-collection period; no a priori calculation)</w:t>
            </w:r>
          </w:p>
        </w:tc>
      </w:tr>
      <w:tr w:rsidR="00EC4B75" w14:paraId="1F12B1A9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36A5BE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Quantitative variables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81121C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11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A09CD5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Explain how quantitative variables were handled in the analyses. If applicable, describe which groupings were chosen and why.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AD6560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171774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EB6F1E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Methods: Statistical analysis; Scoring (IASMH</w:t>
            </w:r>
            <w:r>
              <w:rPr>
                <w:rFonts w:ascii="Times New Roman" w:hAnsi="Times New Roman" w:eastAsia="Times New Roman"/>
                <w:sz w:val="16"/>
                <w:szCs w:val="18"/>
              </w:rPr>
              <w:t>S as continuous variable)</w:t>
            </w:r>
          </w:p>
        </w:tc>
      </w:tr>
      <w:tr w:rsidR="00EC4B75" w14:paraId="6CF7744B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365944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Statistical methods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0B5A5F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12a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96D217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Describe all statistical methods, including those used to control for confounding.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06A58F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0A1352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942FB8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Methods: Statistical analysis</w:t>
            </w:r>
          </w:p>
        </w:tc>
      </w:tr>
      <w:tr w:rsidR="00EC4B75" w14:paraId="0F4358A3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3541E7" w14:textId="77777777" w:rsidR="00EC4B75" w:rsidRDefault="00EC4B75">
            <w:pPr>
              <w:spacing w:after="0"/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2E210B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12b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B69303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Describe any methods used to examine subgroups and interactions.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32C922" w14:textId="77777777" w:rsidR="00EC4B75" w:rsidRDefault="00EC4B75">
            <w:pPr>
              <w:spacing w:after="0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5AFE89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E397CD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No subgroup or interaction analyses conducted</w:t>
            </w:r>
          </w:p>
        </w:tc>
      </w:tr>
      <w:tr w:rsidR="00EC4B75" w14:paraId="744D6630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AC0B6E" w14:textId="77777777" w:rsidR="00EC4B75" w:rsidRDefault="00EC4B75">
            <w:pPr>
              <w:spacing w:after="0"/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3F46DD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12c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8E6634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Explain how missing data were addressed.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F38B2A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2EC5E5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6A8A6D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Methods: Data management (no missing data; incomplete responses excluded)</w:t>
            </w:r>
          </w:p>
        </w:tc>
      </w:tr>
      <w:tr w:rsidR="00EC4B75" w14:paraId="0BDB9F1A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564389" w14:textId="77777777" w:rsidR="00EC4B75" w:rsidRDefault="00EC4B75">
            <w:pPr>
              <w:spacing w:after="0"/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69C19B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12d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34FAD2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Cross-sectional: If applicable, describe analytical methods taking account of sampling strategy.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874E3E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D15D70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FA8561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Methods: Statistical analysis; convenience sampling acknowledged as limitati</w:t>
            </w:r>
            <w:r>
              <w:rPr>
                <w:rFonts w:ascii="Times New Roman" w:hAnsi="Times New Roman" w:eastAsia="Times New Roman"/>
                <w:sz w:val="16"/>
                <w:szCs w:val="18"/>
              </w:rPr>
              <w:t>on</w:t>
            </w:r>
          </w:p>
        </w:tc>
      </w:tr>
      <w:tr w:rsidR="00EC4B75" w14:paraId="32A9669F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735927" w14:textId="77777777" w:rsidR="00EC4B75" w:rsidRDefault="00EC4B75">
            <w:pPr>
              <w:spacing w:after="0"/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2FE330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12e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2BA737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Describe any sensitivity analyses.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BACFB5" w14:textId="77777777" w:rsidR="00EC4B75" w:rsidRDefault="00EC4B75">
            <w:pPr>
              <w:spacing w:after="0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BF2DCA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4C92D3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No sensitivity analyses conducted</w:t>
            </w:r>
          </w:p>
        </w:tc>
      </w:tr>
      <w:tr w:rsidR="00EC4B75" w14:paraId="55F3287A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4F7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D29D8E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RESULTS</w:t>
            </w:r>
          </w:p>
        </w:tc>
      </w:tr>
      <w:tr w:rsidR="00EC4B75" w14:paraId="06CFE2EC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64ACA1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Participants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3F944C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13a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291288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 xml:space="preserve">Report numbers of individuals at each stage of study — </w:t>
            </w:r>
            <w:proofErr w:type="gramStart"/>
            <w:r>
              <w:rPr>
                <w:rFonts w:ascii="Times New Roman" w:hAnsi="Times New Roman" w:eastAsia="Times New Roman"/>
                <w:sz w:val="16"/>
              </w:rPr>
              <w:t>e.g.</w:t>
            </w:r>
            <w:proofErr w:type="gramEnd"/>
            <w:r>
              <w:rPr>
                <w:rFonts w:ascii="Times New Roman" w:hAnsi="Times New Roman" w:eastAsia="Times New Roman"/>
                <w:sz w:val="16"/>
              </w:rPr>
              <w:t xml:space="preserve"> numbers potentially eligible, examined for </w:t>
            </w:r>
            <w:r>
              <w:rPr>
                <w:rFonts w:ascii="Times New Roman" w:hAnsi="Times New Roman" w:eastAsia="Times New Roman"/>
                <w:sz w:val="16"/>
              </w:rPr>
              <w:lastRenderedPageBreak/>
              <w:t xml:space="preserve">eligibility, confirmed eligible, included in the study, completing follow-up, and </w:t>
            </w:r>
            <w:proofErr w:type="spellStart"/>
            <w:r>
              <w:rPr>
                <w:rFonts w:ascii="Times New Roman" w:hAnsi="Times New Roman" w:eastAsia="Times New Roman"/>
                <w:sz w:val="16"/>
              </w:rPr>
              <w:t>analysed</w:t>
            </w:r>
            <w:proofErr w:type="spellEnd"/>
            <w:r>
              <w:rPr>
                <w:rFonts w:ascii="Times New Roman" w:hAnsi="Times New Roman" w:eastAsia="Times New Roman"/>
                <w:sz w:val="16"/>
              </w:rPr>
              <w:t>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B8CD0A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lastRenderedPageBreak/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9EC61D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22F2F7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Results: Sociodemographic characteristics (479 received; 2</w:t>
            </w:r>
            <w:r>
              <w:rPr>
                <w:rFonts w:ascii="Times New Roman" w:hAnsi="Times New Roman" w:eastAsia="Times New Roman"/>
                <w:sz w:val="16"/>
                <w:szCs w:val="18"/>
              </w:rPr>
              <w:t xml:space="preserve">0 pilot excluded; 59 </w:t>
            </w:r>
            <w:proofErr w:type="gramStart"/>
            <w:r>
              <w:rPr>
                <w:rFonts w:ascii="Times New Roman" w:hAnsi="Times New Roman" w:eastAsia="Times New Roman"/>
                <w:sz w:val="16"/>
                <w:szCs w:val="18"/>
              </w:rPr>
              <w:t>incomplete</w:t>
            </w:r>
            <w:proofErr w:type="gramEnd"/>
            <w:r>
              <w:rPr>
                <w:rFonts w:ascii="Times New Roman" w:hAnsi="Times New Roman" w:eastAsia="Times New Roman"/>
                <w:sz w:val="16"/>
                <w:szCs w:val="18"/>
              </w:rPr>
              <w:t xml:space="preserve"> excluded; 400 analyzed)</w:t>
            </w:r>
          </w:p>
        </w:tc>
      </w:tr>
      <w:tr w:rsidR="00EC4B75" w14:paraId="452CD60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412E81" w14:textId="77777777" w:rsidR="00EC4B75" w:rsidRDefault="00EC4B75">
            <w:pPr>
              <w:spacing w:after="0"/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A2029A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13b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4A8B9C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Give reasons for non-participation at each stage.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DACC52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DD27CE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4CBE49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Results: participant flow; Methods: Eligibility criteria</w:t>
            </w:r>
          </w:p>
        </w:tc>
      </w:tr>
      <w:tr w:rsidR="00EC4B75" w14:paraId="0D96BEDA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1CA143" w14:textId="77777777" w:rsidR="00EC4B75" w:rsidRDefault="00EC4B75">
            <w:pPr>
              <w:spacing w:after="0"/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6380CD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13c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50FCCF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Consider use of a flow diagram.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Results: Figure 1 (participant flow diagram)</w:t>
            </w:r>
          </w:p>
        </w:tc>
      </w:tr>
      <w:tr w:rsidR="00EC4B75" w14:paraId="7214C9B3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247AD9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Descriptive data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89C5E0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14a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7903B5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Give characteristics of study participants (</w:t>
            </w:r>
            <w:proofErr w:type="gramStart"/>
            <w:r>
              <w:rPr>
                <w:rFonts w:ascii="Times New Roman" w:hAnsi="Times New Roman" w:eastAsia="Times New Roman"/>
                <w:sz w:val="16"/>
              </w:rPr>
              <w:t>e.g.</w:t>
            </w:r>
            <w:proofErr w:type="gramEnd"/>
            <w:r>
              <w:rPr>
                <w:rFonts w:ascii="Times New Roman" w:hAnsi="Times New Roman" w:eastAsia="Times New Roman"/>
                <w:sz w:val="16"/>
              </w:rPr>
              <w:t xml:space="preserve"> demographic, clinical, social) and information on exposures and potential confounders.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900ECC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946BFE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FFDED8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Results: Table 1; Sociodemographic characteristics paragraph</w:t>
            </w:r>
          </w:p>
        </w:tc>
      </w:tr>
      <w:tr w:rsidR="00EC4B75" w14:paraId="1B504BF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8AD1F0" w14:textId="77777777" w:rsidR="00EC4B75" w:rsidRDefault="00EC4B75">
            <w:pPr>
              <w:spacing w:after="0"/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A4AC0B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14b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690341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 xml:space="preserve">Indicate number of participants with missing data </w:t>
            </w:r>
            <w:r>
              <w:rPr>
                <w:rFonts w:ascii="Times New Roman" w:hAnsi="Times New Roman" w:eastAsia="Times New Roman"/>
                <w:sz w:val="16"/>
              </w:rPr>
              <w:t>for each variable of interest.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AEA59C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143913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DE5ADC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Methods: Data management (no missing data in final dataset)</w:t>
            </w:r>
          </w:p>
        </w:tc>
      </w:tr>
      <w:tr w:rsidR="00EC4B75" w14:paraId="1F623DE5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7E21DB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Outcome data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E5CF6F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15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53BF58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Cross-sectional: Report numbers of outcome events or summary measures.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E09412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9D4F1B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Results: Tables 2–4 and accompanying text</w:t>
            </w:r>
          </w:p>
        </w:tc>
      </w:tr>
      <w:tr w:rsidR="00EC4B75" w14:paraId="61FA97F5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ED420D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Main results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0BA79E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16a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2A2966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Give unadjusted estimates and, if applicable, confounder-adjusted estimates and their precision (</w:t>
            </w:r>
            <w:proofErr w:type="gramStart"/>
            <w:r>
              <w:rPr>
                <w:rFonts w:ascii="Times New Roman" w:hAnsi="Times New Roman" w:eastAsia="Times New Roman"/>
                <w:sz w:val="16"/>
              </w:rPr>
              <w:t>e.g.</w:t>
            </w:r>
            <w:proofErr w:type="gramEnd"/>
            <w:r>
              <w:rPr>
                <w:rFonts w:ascii="Times New Roman" w:hAnsi="Times New Roman" w:eastAsia="Times New Roman"/>
                <w:sz w:val="16"/>
              </w:rPr>
              <w:t xml:space="preserve"> 95% CI). Make clear which confounders were adjusted for and why they were include</w:t>
            </w:r>
            <w:r>
              <w:rPr>
                <w:rFonts w:ascii="Times New Roman" w:hAnsi="Times New Roman" w:eastAsia="Times New Roman"/>
                <w:sz w:val="16"/>
              </w:rPr>
              <w:t>d.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82EF18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1B38AB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59E6DE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Results: r = 0.104, 95% CI 0.006–0.200; Welch t and ANOVA reported with p-values. No confounders adjusted for (descriptive/correlational study)</w:t>
            </w:r>
          </w:p>
        </w:tc>
      </w:tr>
      <w:tr w:rsidR="00EC4B75" w14:paraId="320C7223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A46C84" w14:textId="77777777" w:rsidR="00EC4B75" w:rsidRDefault="00EC4B75">
            <w:pPr>
              <w:spacing w:after="0"/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E3EDF9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16b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2D6A7D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Report category boundaries when continuous variables were categorized.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5AE8CB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A1941B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BB99EA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Methods: Statistical analysis (marital status grouping defined); Table 1 (age categories reported)</w:t>
            </w:r>
          </w:p>
        </w:tc>
      </w:tr>
      <w:tr w:rsidR="00EC4B75" w14:paraId="55B60447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83712C" w14:textId="77777777" w:rsidR="00EC4B75" w:rsidRDefault="00EC4B75">
            <w:pPr>
              <w:spacing w:after="0"/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997143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16c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9AEDBB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If relevant, consider translating estimates of relative risk into absolute ri</w:t>
            </w:r>
            <w:r>
              <w:rPr>
                <w:rFonts w:ascii="Times New Roman" w:hAnsi="Times New Roman" w:eastAsia="Times New Roman"/>
                <w:sz w:val="16"/>
              </w:rPr>
              <w:t>sk for a meaningful time period.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9F0956" w14:textId="77777777" w:rsidR="00EC4B75" w:rsidRDefault="00EC4B75">
            <w:pPr>
              <w:spacing w:after="0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5D906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D3782D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Relative risk not applicable; correlation study</w:t>
            </w:r>
          </w:p>
        </w:tc>
      </w:tr>
      <w:tr w:rsidR="00EC4B75" w14:paraId="10DF1C68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CEFEE5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Other analyses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156EA3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17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4215B7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 xml:space="preserve">Report other analyses done — </w:t>
            </w:r>
            <w:proofErr w:type="gramStart"/>
            <w:r>
              <w:rPr>
                <w:rFonts w:ascii="Times New Roman" w:hAnsi="Times New Roman" w:eastAsia="Times New Roman"/>
                <w:sz w:val="16"/>
              </w:rPr>
              <w:t>e.g.</w:t>
            </w:r>
            <w:proofErr w:type="gramEnd"/>
            <w:r>
              <w:rPr>
                <w:rFonts w:ascii="Times New Roman" w:hAnsi="Times New Roman" w:eastAsia="Times New Roman"/>
                <w:sz w:val="16"/>
              </w:rPr>
              <w:t xml:space="preserve"> analyses of subgroups and interactions, and sensitivity analyses.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47F7A7" w14:textId="77777777" w:rsidR="00EC4B75" w:rsidRDefault="00EC4B75">
            <w:pPr>
              <w:spacing w:after="0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4AA45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34E26C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No other analyses conducted</w:t>
            </w:r>
          </w:p>
        </w:tc>
      </w:tr>
      <w:tr w:rsidR="00EC4B75" w14:paraId="059E4D87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4F7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518D15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DISCUSSION</w:t>
            </w:r>
          </w:p>
        </w:tc>
      </w:tr>
      <w:tr w:rsidR="00EC4B75" w14:paraId="7B8CA6A3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10E0ED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Key results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91B65F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18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0E1EEC" w14:textId="77777777" w:rsidR="00EC4B75" w:rsidRDefault="00E37C2C">
            <w:pPr>
              <w:spacing w:after="0"/>
            </w:pPr>
            <w:proofErr w:type="spellStart"/>
            <w:r>
              <w:rPr>
                <w:rFonts w:ascii="Times New Roman" w:hAnsi="Times New Roman" w:eastAsia="Times New Roman"/>
                <w:sz w:val="16"/>
              </w:rPr>
              <w:t>Summarise</w:t>
            </w:r>
            <w:proofErr w:type="spellEnd"/>
            <w:r>
              <w:rPr>
                <w:rFonts w:ascii="Times New Roman" w:hAnsi="Times New Roman" w:eastAsia="Times New Roman"/>
                <w:sz w:val="16"/>
              </w:rPr>
              <w:t xml:space="preserve"> key results with reference to study objectives.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C5175B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1DCCD0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46F75E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Discussion, paragraph 1</w:t>
            </w:r>
          </w:p>
        </w:tc>
      </w:tr>
      <w:tr w:rsidR="00EC4B75" w14:paraId="6731199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E1C515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Limitations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5298DC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19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BF0EC8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Discuss limitations of the study, taking into account sources of potential bias or imprecision. Discuss both direction and magnitude of any potential bias.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A6E6D9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F2E4A8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3AC1FF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Discussion: Strengths and limitations</w:t>
            </w:r>
          </w:p>
        </w:tc>
      </w:tr>
      <w:tr w:rsidR="00EC4B75" w14:paraId="11C78DCB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B0B543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Interpretation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26B6A3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20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96941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Give a cautious overall interpretation of results considering objectives, limitations, multiplicity of analyses, results from similar studies, and other relevant evidence.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879484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5964BE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7AB03B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Discussion, paragraphs 2–4; Conclusions</w:t>
            </w:r>
          </w:p>
        </w:tc>
      </w:tr>
      <w:tr w:rsidR="00EC4B75" w14:paraId="0950915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76DBA" w14:textId="77777777" w:rsidR="00EC4B75" w:rsidRDefault="00E37C2C">
            <w:pPr>
              <w:spacing w:after="0"/>
            </w:pPr>
            <w:proofErr w:type="spellStart"/>
            <w:r>
              <w:rPr>
                <w:rFonts w:ascii="Times New Roman" w:hAnsi="Times New Roman" w:eastAsia="Times New Roman"/>
                <w:sz w:val="16"/>
              </w:rPr>
              <w:lastRenderedPageBreak/>
              <w:t>Generalisability</w:t>
            </w:r>
            <w:proofErr w:type="spellEnd"/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594F43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21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429D41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 xml:space="preserve">Discuss the </w:t>
            </w:r>
            <w:proofErr w:type="spellStart"/>
            <w:r>
              <w:rPr>
                <w:rFonts w:ascii="Times New Roman" w:hAnsi="Times New Roman" w:eastAsia="Times New Roman"/>
                <w:sz w:val="16"/>
              </w:rPr>
              <w:t>generalisability</w:t>
            </w:r>
            <w:proofErr w:type="spellEnd"/>
            <w:r>
              <w:rPr>
                <w:rFonts w:ascii="Times New Roman" w:hAnsi="Times New Roman" w:eastAsia="Times New Roman"/>
                <w:sz w:val="16"/>
              </w:rPr>
              <w:t xml:space="preserve"> (external validity) of the study results.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9766E9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53B723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A58E4B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Discussion: Strengths and limitations (convenience sampling; online delivery)</w:t>
            </w:r>
          </w:p>
        </w:tc>
      </w:tr>
      <w:tr w:rsidR="00EC4B75" w14:paraId="659AA59A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4F7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E56683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OTHER INFORMATION</w:t>
            </w:r>
          </w:p>
        </w:tc>
      </w:tr>
      <w:tr w:rsidR="00EC4B75" w14:paraId="7C62CF68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CFE214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Funding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211100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22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961108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</w:rPr>
              <w:t>Give the source of funding and the role of the funders for the present study and, if applicable, for the original study on which the present article is based.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182631" w14:textId="77777777" w:rsidR="00EC4B75" w:rsidRDefault="00E37C2C"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16"/>
              </w:rPr>
              <w:t>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7DE7CF" w14:textId="77777777" w:rsidR="00EC4B75" w:rsidRDefault="00EC4B75">
            <w:pPr>
              <w:spacing w:after="0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32F160" w14:textId="77777777" w:rsidR="00EC4B75" w:rsidRDefault="00E37C2C">
            <w:pPr>
              <w:spacing w:after="0"/>
            </w:pPr>
            <w:r>
              <w:rPr>
                <w:rFonts w:ascii="Times New Roman" w:hAnsi="Times New Roman" w:eastAsia="Times New Roman"/>
                <w:sz w:val="16"/>
                <w:szCs w:val="18"/>
              </w:rPr>
              <w:t>Declarations: Funding (no specific funding)</w:t>
            </w:r>
          </w:p>
        </w:tc>
      </w:tr>
    </w:tbl>
    <w:p w14:paraId="75BBB952" w14:textId="77777777" w:rsidR="00EC4B75" w:rsidRDefault="00E37C2C">
      <w:pPr>
        <w:spacing w:before="200" w:after="80"/>
      </w:pPr>
      <w:r>
        <w:rPr>
          <w:rFonts w:ascii="Times New Roman" w:hAnsi="Times New Roman" w:eastAsia="Times New Roman"/>
          <w:i/>
          <w:iCs/>
          <w:sz w:val="20"/>
          <w:szCs w:val="18"/>
        </w:rPr>
        <w:t>✓</w:t>
      </w:r>
      <w:r>
        <w:rPr>
          <w:rFonts w:ascii="Times New Roman" w:hAnsi="Times New Roman" w:eastAsia="Times New Roman"/>
          <w:i/>
          <w:iCs/>
          <w:sz w:val="20"/>
          <w:szCs w:val="18"/>
        </w:rPr>
        <w:t xml:space="preserve"> = Reported in manuscript    N/A = Not applicable to this study design or analysis</w:t>
      </w:r>
    </w:p>
    <w:p w14:paraId="3DC17866" w14:textId="77777777" w:rsidR="00EC4B75" w:rsidRDefault="00E37C2C">
      <w:pPr>
        <w:spacing w:after="80"/>
      </w:pPr>
      <w:r>
        <w:rPr>
          <w:rFonts w:ascii="Times New Roman" w:hAnsi="Times New Roman" w:eastAsia="Times New Roman"/>
          <w:sz w:val="20"/>
        </w:rPr>
        <w:t>Note. Items 6b, 12b, 12e, 16c, and 17 are marked N/A because this was a non-matched, cross-sectional correlational study with no subgroup analyses, sensitivity analyses, or measures of relative risk. Item 13c is reported through Figure 1, which presents participant flow.</w:t>
      </w:r>
    </w:p>
    <w:sectPr w:rsidR="00EC4B75">
      <w:pgSz w:w="16838" w:h="11906"/>
      <w:pgMar w:top="864" w:right="720" w:bottom="864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F193D"/>
    <w:multiLevelType w:val="hybridMultilevel"/>
    <w:tmpl w:val="E7321FDE"/>
    <w:lvl w:ilvl="0" w:tplc="FEC20E78">
      <w:start w:val="1"/>
      <w:numFmt w:val="bullet"/>
      <w:lvlText w:val="●"/>
      <w:lvlJc w:val="left"/>
      <w:pPr>
        <w:ind w:left="720" w:hanging="360"/>
      </w:pPr>
    </w:lvl>
    <w:lvl w:ilvl="1" w:tplc="7F9ADB50">
      <w:start w:val="1"/>
      <w:numFmt w:val="bullet"/>
      <w:lvlText w:val="○"/>
      <w:lvlJc w:val="left"/>
      <w:pPr>
        <w:ind w:left="1440" w:hanging="360"/>
      </w:pPr>
    </w:lvl>
    <w:lvl w:ilvl="2" w:tplc="2E526472">
      <w:start w:val="1"/>
      <w:numFmt w:val="bullet"/>
      <w:lvlText w:val="■"/>
      <w:lvlJc w:val="left"/>
      <w:pPr>
        <w:ind w:left="2160" w:hanging="360"/>
      </w:pPr>
    </w:lvl>
    <w:lvl w:ilvl="3" w:tplc="F6B635E8">
      <w:start w:val="1"/>
      <w:numFmt w:val="bullet"/>
      <w:lvlText w:val="●"/>
      <w:lvlJc w:val="left"/>
      <w:pPr>
        <w:ind w:left="2880" w:hanging="360"/>
      </w:pPr>
    </w:lvl>
    <w:lvl w:ilvl="4" w:tplc="8F1EF0C0">
      <w:start w:val="1"/>
      <w:numFmt w:val="bullet"/>
      <w:lvlText w:val="○"/>
      <w:lvlJc w:val="left"/>
      <w:pPr>
        <w:ind w:left="3600" w:hanging="360"/>
      </w:pPr>
    </w:lvl>
    <w:lvl w:ilvl="5" w:tplc="B2C0DE38">
      <w:start w:val="1"/>
      <w:numFmt w:val="bullet"/>
      <w:lvlText w:val="■"/>
      <w:lvlJc w:val="left"/>
      <w:pPr>
        <w:ind w:left="4320" w:hanging="360"/>
      </w:pPr>
    </w:lvl>
    <w:lvl w:ilvl="6" w:tplc="A6C6A376">
      <w:start w:val="1"/>
      <w:numFmt w:val="bullet"/>
      <w:lvlText w:val="●"/>
      <w:lvlJc w:val="left"/>
      <w:pPr>
        <w:ind w:left="5040" w:hanging="360"/>
      </w:pPr>
    </w:lvl>
    <w:lvl w:ilvl="7" w:tplc="59B01C6A">
      <w:start w:val="1"/>
      <w:numFmt w:val="bullet"/>
      <w:lvlText w:val="●"/>
      <w:lvlJc w:val="left"/>
      <w:pPr>
        <w:ind w:left="5760" w:hanging="360"/>
      </w:pPr>
    </w:lvl>
    <w:lvl w:ilvl="8" w:tplc="7F3A440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B75"/>
    <w:rsid w:val="00E37C2C"/>
    <w:rsid w:val="00EC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341CB"/>
  <w15:docId w15:val="{8E4ACECE-AE6B-4624-80BD-C940C4C2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000000"/>
      <w:sz w:val="28"/>
      <w:szCs w:val="28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1028</Words>
  <Characters>5864</Characters>
  <Application>Microsoft Office Word</Application>
  <DocSecurity>0</DocSecurity>
  <Lines>48</Lines>
  <Paragraphs>13</Paragraphs>
  <ScaleCrop>false</ScaleCrop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drash8262@gmail.com</cp:lastModifiedBy>
  <cp:revision>2</cp:revision>
  <dcterms:created xsi:type="dcterms:W3CDTF">2026-06-27T07:17:00Z</dcterms:created>
  <dcterms:modified xsi:type="dcterms:W3CDTF">2026-06-27T07:17:00Z</dcterms:modified>
  <dc:title>STROBE Checklist - Discover Mental Health</dc:title>
</cp:coreProperties>
</file>