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60D82" w14:textId="77777777" w:rsidR="00E3349B" w:rsidRPr="00EC713D" w:rsidRDefault="00E3349B" w:rsidP="00E3349B">
      <w:pPr>
        <w:spacing w:after="0" w:line="480" w:lineRule="auto"/>
        <w:rPr>
          <w:rFonts w:ascii="Times New Roman" w:eastAsia="Times New Roman" w:hAnsi="Times New Roman" w:cs="Times New Roman"/>
          <w:b/>
          <w:bCs/>
          <w:kern w:val="0"/>
          <w:sz w:val="20"/>
          <w:szCs w:val="20"/>
          <w14:ligatures w14:val="none"/>
        </w:rPr>
      </w:pPr>
      <w:r w:rsidRPr="00EC713D">
        <w:rPr>
          <w:rFonts w:ascii="Times New Roman" w:eastAsia="Times New Roman" w:hAnsi="Times New Roman" w:cs="Times New Roman"/>
          <w:b/>
          <w:bCs/>
          <w:kern w:val="0"/>
          <w:sz w:val="20"/>
          <w:szCs w:val="20"/>
          <w14:ligatures w14:val="none"/>
        </w:rPr>
        <w:t>Movies:</w:t>
      </w:r>
    </w:p>
    <w:p w14:paraId="17D12D8A" w14:textId="77777777" w:rsidR="00E3349B" w:rsidRPr="00EC713D" w:rsidRDefault="00E3349B" w:rsidP="00E3349B">
      <w:pPr>
        <w:pStyle w:val="NormalWeb"/>
        <w:spacing w:before="0" w:beforeAutospacing="0" w:after="0" w:afterAutospacing="0" w:line="480" w:lineRule="auto"/>
        <w:jc w:val="both"/>
        <w:rPr>
          <w:color w:val="000000"/>
          <w:sz w:val="20"/>
          <w:szCs w:val="20"/>
        </w:rPr>
      </w:pPr>
      <w:r w:rsidRPr="00EC713D">
        <w:rPr>
          <w:b/>
          <w:bCs/>
          <w:sz w:val="20"/>
          <w:szCs w:val="20"/>
        </w:rPr>
        <w:t>Movie 1:</w:t>
      </w:r>
      <w:r w:rsidRPr="00EC713D">
        <w:rPr>
          <w:sz w:val="20"/>
          <w:szCs w:val="20"/>
        </w:rPr>
        <w:t xml:space="preserve"> ONS-76 LA-eGFP cells in complete growth medium exposed to DMSO.  </w:t>
      </w:r>
      <w:r w:rsidRPr="00EC713D">
        <w:rPr>
          <w:color w:val="000000"/>
          <w:sz w:val="20"/>
          <w:szCs w:val="20"/>
        </w:rPr>
        <w:t>Example tracking analysis movie showing detected objects and corresponding tracks fading over time color coded according to track ID (different color indicates different object). Blinking red circles indicates bad tracks (or fragments) not fulfiling the exclusion</w:t>
      </w:r>
      <w:r w:rsidRPr="00EC713D">
        <w:rPr>
          <w:rStyle w:val="apple-converted-space"/>
          <w:color w:val="000000"/>
          <w:sz w:val="20"/>
          <w:szCs w:val="20"/>
        </w:rPr>
        <w:t> </w:t>
      </w:r>
      <w:r w:rsidRPr="00EC713D">
        <w:rPr>
          <w:color w:val="000000"/>
          <w:sz w:val="20"/>
          <w:szCs w:val="20"/>
        </w:rPr>
        <w:t>criteria for further analysis (60 min duration). Time stamp in hours:minutes.</w:t>
      </w:r>
    </w:p>
    <w:p w14:paraId="4ECCBD9B" w14:textId="77777777" w:rsidR="00E3349B" w:rsidRPr="00EC713D" w:rsidRDefault="00E3349B" w:rsidP="00E3349B">
      <w:pPr>
        <w:pStyle w:val="NormalWeb"/>
        <w:spacing w:before="0" w:beforeAutospacing="0" w:after="0" w:afterAutospacing="0" w:line="480" w:lineRule="auto"/>
        <w:jc w:val="both"/>
        <w:rPr>
          <w:color w:val="000000"/>
          <w:sz w:val="20"/>
          <w:szCs w:val="20"/>
        </w:rPr>
      </w:pPr>
      <w:r w:rsidRPr="00EC713D">
        <w:rPr>
          <w:b/>
          <w:bCs/>
          <w:sz w:val="20"/>
          <w:szCs w:val="20"/>
        </w:rPr>
        <w:t>Movie 2:</w:t>
      </w:r>
      <w:r w:rsidRPr="00EC713D">
        <w:rPr>
          <w:sz w:val="20"/>
          <w:szCs w:val="20"/>
        </w:rPr>
        <w:t xml:space="preserve"> ONS-76 LA-eGFP cells in complete growth medium exposed to 1 µM famlasertib.</w:t>
      </w:r>
      <w:r w:rsidRPr="00EC713D">
        <w:rPr>
          <w:color w:val="000000"/>
          <w:sz w:val="20"/>
          <w:szCs w:val="20"/>
        </w:rPr>
        <w:t xml:space="preserve"> Example tracking analysis movie showing detected objects and corresponding tracks fading over time color coded according to track ID (different color indicates different object). Blinking red circles indicates bad tracks (or fragments) not fulfiling the exclusion</w:t>
      </w:r>
      <w:r w:rsidRPr="00EC713D">
        <w:rPr>
          <w:rStyle w:val="apple-converted-space"/>
          <w:color w:val="000000"/>
          <w:sz w:val="20"/>
          <w:szCs w:val="20"/>
        </w:rPr>
        <w:t> </w:t>
      </w:r>
      <w:r w:rsidRPr="00EC713D">
        <w:rPr>
          <w:color w:val="000000"/>
          <w:sz w:val="20"/>
          <w:szCs w:val="20"/>
        </w:rPr>
        <w:t>criteria for further analysis (60 min duration). Time stamp in hours:minutes.</w:t>
      </w:r>
    </w:p>
    <w:p w14:paraId="1F92BF2C" w14:textId="77777777" w:rsidR="00E3349B" w:rsidRPr="00EC713D" w:rsidRDefault="00E3349B" w:rsidP="00E3349B">
      <w:pPr>
        <w:pStyle w:val="NormalWeb"/>
        <w:spacing w:before="0" w:beforeAutospacing="0" w:after="0" w:afterAutospacing="0" w:line="480" w:lineRule="auto"/>
        <w:jc w:val="both"/>
        <w:rPr>
          <w:color w:val="000000"/>
          <w:sz w:val="20"/>
          <w:szCs w:val="20"/>
        </w:rPr>
      </w:pPr>
      <w:r w:rsidRPr="00EC713D">
        <w:rPr>
          <w:b/>
          <w:bCs/>
          <w:sz w:val="20"/>
          <w:szCs w:val="20"/>
        </w:rPr>
        <w:t>Movie 3:</w:t>
      </w:r>
      <w:r w:rsidRPr="00EC713D">
        <w:rPr>
          <w:sz w:val="20"/>
          <w:szCs w:val="20"/>
        </w:rPr>
        <w:t xml:space="preserve"> UW228 LA-eGFP cells in complete growth medium exposed to DMSO. </w:t>
      </w:r>
      <w:r w:rsidRPr="00EC713D">
        <w:rPr>
          <w:color w:val="000000"/>
          <w:sz w:val="20"/>
          <w:szCs w:val="20"/>
        </w:rPr>
        <w:t>Example tracking analysis movie showing detected objects and corresponding tracks fading over time color coded according to track ID (different color indicates different object). Blinking red circles indicates bad tracks (or fragments) not fulfiling the exclusion</w:t>
      </w:r>
      <w:r w:rsidRPr="00EC713D">
        <w:rPr>
          <w:rStyle w:val="apple-converted-space"/>
          <w:color w:val="000000"/>
          <w:sz w:val="20"/>
          <w:szCs w:val="20"/>
        </w:rPr>
        <w:t> </w:t>
      </w:r>
      <w:r w:rsidRPr="00EC713D">
        <w:rPr>
          <w:color w:val="000000"/>
          <w:sz w:val="20"/>
          <w:szCs w:val="20"/>
        </w:rPr>
        <w:t>criteria for further analysis (60 min duration). Time stamp in hours:minutes.</w:t>
      </w:r>
    </w:p>
    <w:p w14:paraId="5BBCC8FC" w14:textId="77777777" w:rsidR="00E3349B" w:rsidRPr="00EC713D" w:rsidRDefault="00E3349B" w:rsidP="00E3349B">
      <w:pPr>
        <w:pStyle w:val="NormalWeb"/>
        <w:spacing w:before="0" w:beforeAutospacing="0" w:after="0" w:afterAutospacing="0" w:line="480" w:lineRule="auto"/>
        <w:jc w:val="both"/>
        <w:rPr>
          <w:color w:val="000000"/>
          <w:sz w:val="20"/>
          <w:szCs w:val="20"/>
        </w:rPr>
      </w:pPr>
      <w:r w:rsidRPr="00EC713D">
        <w:rPr>
          <w:b/>
          <w:bCs/>
          <w:sz w:val="20"/>
          <w:szCs w:val="20"/>
        </w:rPr>
        <w:t>Movie 4:</w:t>
      </w:r>
      <w:r w:rsidRPr="00EC713D">
        <w:rPr>
          <w:sz w:val="20"/>
          <w:szCs w:val="20"/>
        </w:rPr>
        <w:t xml:space="preserve"> ONS-76 LA-eGFP cells in complete growth medium exposed to 1 µM famlasertib.  </w:t>
      </w:r>
      <w:r w:rsidRPr="00EC713D">
        <w:rPr>
          <w:color w:val="000000"/>
          <w:sz w:val="20"/>
          <w:szCs w:val="20"/>
        </w:rPr>
        <w:t>Example tracking analysis movie showing detected objects and corresponding tracks fading over time color coded according to track ID (different color indicates different object). Blinking red circles indicates bad tracks (or fragments) not fulfiling the exclusion</w:t>
      </w:r>
      <w:r w:rsidRPr="00EC713D">
        <w:rPr>
          <w:rStyle w:val="apple-converted-space"/>
          <w:color w:val="000000"/>
          <w:sz w:val="20"/>
          <w:szCs w:val="20"/>
        </w:rPr>
        <w:t> </w:t>
      </w:r>
      <w:r w:rsidRPr="00EC713D">
        <w:rPr>
          <w:color w:val="000000"/>
          <w:sz w:val="20"/>
          <w:szCs w:val="20"/>
        </w:rPr>
        <w:t>criteria for further analysis (60 min duration). Time stamp in hours:minutes.</w:t>
      </w:r>
    </w:p>
    <w:p w14:paraId="747748C1" w14:textId="77777777" w:rsidR="00E3349B" w:rsidRPr="00EC713D" w:rsidRDefault="00E3349B" w:rsidP="00E3349B">
      <w:pPr>
        <w:spacing w:after="0" w:line="480" w:lineRule="auto"/>
        <w:rPr>
          <w:rFonts w:ascii="Times New Roman" w:eastAsia="Times New Roman" w:hAnsi="Times New Roman" w:cs="Times New Roman"/>
          <w:kern w:val="0"/>
          <w:sz w:val="20"/>
          <w:szCs w:val="20"/>
          <w14:ligatures w14:val="none"/>
        </w:rPr>
      </w:pPr>
    </w:p>
    <w:p w14:paraId="1F2F12D2" w14:textId="77777777" w:rsidR="00E3349B" w:rsidRPr="00EC713D" w:rsidRDefault="00E3349B" w:rsidP="00E3349B">
      <w:pPr>
        <w:pStyle w:val="NormalWeb"/>
        <w:spacing w:before="0" w:beforeAutospacing="0" w:after="0" w:afterAutospacing="0" w:line="480" w:lineRule="auto"/>
        <w:jc w:val="both"/>
        <w:rPr>
          <w:b/>
          <w:bCs/>
          <w:color w:val="000000"/>
          <w:sz w:val="20"/>
          <w:szCs w:val="20"/>
        </w:rPr>
      </w:pPr>
      <w:r w:rsidRPr="00EC713D">
        <w:rPr>
          <w:b/>
          <w:bCs/>
          <w:color w:val="000000"/>
          <w:sz w:val="20"/>
          <w:szCs w:val="20"/>
        </w:rPr>
        <w:t>Tables:</w:t>
      </w:r>
    </w:p>
    <w:p w14:paraId="6BF1BBC2" w14:textId="77777777" w:rsidR="00E3349B" w:rsidRPr="00EC713D" w:rsidRDefault="00E3349B" w:rsidP="00E3349B">
      <w:pPr>
        <w:pStyle w:val="NormalWeb"/>
        <w:spacing w:before="0" w:beforeAutospacing="0" w:after="0" w:afterAutospacing="0" w:line="480" w:lineRule="auto"/>
        <w:jc w:val="both"/>
        <w:rPr>
          <w:b/>
          <w:bCs/>
          <w:color w:val="000000"/>
          <w:sz w:val="20"/>
          <w:szCs w:val="20"/>
        </w:rPr>
      </w:pPr>
      <w:r w:rsidRPr="00EC713D">
        <w:rPr>
          <w:b/>
          <w:bCs/>
          <w:color w:val="000000"/>
          <w:sz w:val="20"/>
          <w:szCs w:val="20"/>
        </w:rPr>
        <w:t>Supplementary Table 1:</w:t>
      </w:r>
    </w:p>
    <w:p w14:paraId="33BCE788"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color w:val="000000"/>
          <w:sz w:val="20"/>
          <w:szCs w:val="20"/>
        </w:rPr>
        <w:t>Comparison of a phosphosite alterations in DMSO control D425 cells + bFGF compared to DMSO control cells – bFGF (</w:t>
      </w:r>
      <w:r w:rsidRPr="00EC713D">
        <w:rPr>
          <w:sz w:val="20"/>
          <w:szCs w:val="20"/>
        </w:rPr>
        <w:t xml:space="preserve">FDR ≤ 0.05 and log₂FC ≥ 0.6 or ≤ −0.6). Comparison: DMSO + bFGF vs DMSO – bFGF. Treatments: Starvation:18h, </w:t>
      </w:r>
      <w:r w:rsidRPr="00EC713D">
        <w:rPr>
          <w:color w:val="000000"/>
          <w:sz w:val="20"/>
          <w:szCs w:val="20"/>
        </w:rPr>
        <w:t>bFGF: 50 ng/mL, 5 min</w:t>
      </w:r>
    </w:p>
    <w:p w14:paraId="710B0F2A" w14:textId="77777777" w:rsidR="00E3349B" w:rsidRPr="00EC713D" w:rsidRDefault="00E3349B" w:rsidP="00E3349B">
      <w:pPr>
        <w:pStyle w:val="NormalWeb"/>
        <w:spacing w:before="0" w:beforeAutospacing="0" w:after="0" w:afterAutospacing="0" w:line="480" w:lineRule="auto"/>
        <w:jc w:val="both"/>
        <w:rPr>
          <w:b/>
          <w:bCs/>
          <w:color w:val="000000"/>
          <w:sz w:val="20"/>
          <w:szCs w:val="20"/>
        </w:rPr>
      </w:pPr>
      <w:r w:rsidRPr="00EC713D">
        <w:rPr>
          <w:b/>
          <w:bCs/>
          <w:color w:val="000000"/>
          <w:sz w:val="20"/>
          <w:szCs w:val="20"/>
        </w:rPr>
        <w:t>Supplementary Table 2:</w:t>
      </w:r>
    </w:p>
    <w:p w14:paraId="5051B864" w14:textId="77777777" w:rsidR="00E3349B" w:rsidRPr="00EC713D" w:rsidRDefault="00E3349B" w:rsidP="00E3349B">
      <w:pPr>
        <w:pStyle w:val="NormalWeb"/>
        <w:spacing w:before="0" w:beforeAutospacing="0" w:after="0" w:afterAutospacing="0" w:line="480" w:lineRule="auto"/>
        <w:jc w:val="both"/>
        <w:rPr>
          <w:color w:val="000000"/>
          <w:sz w:val="20"/>
          <w:szCs w:val="20"/>
        </w:rPr>
      </w:pPr>
      <w:r w:rsidRPr="00EC713D">
        <w:rPr>
          <w:color w:val="000000"/>
          <w:sz w:val="20"/>
          <w:szCs w:val="20"/>
        </w:rPr>
        <w:t>Significantly (</w:t>
      </w:r>
      <w:r w:rsidRPr="00EC713D">
        <w:rPr>
          <w:sz w:val="20"/>
          <w:szCs w:val="20"/>
        </w:rPr>
        <w:t xml:space="preserve">FDR ≤ 0.05 and log₂FC ≥ 0.6 or ≤ −0.6) altered phosphosites of the </w:t>
      </w:r>
      <w:r w:rsidRPr="00EC713D">
        <w:rPr>
          <w:color w:val="000000"/>
          <w:sz w:val="20"/>
          <w:szCs w:val="20"/>
        </w:rPr>
        <w:t>comparison of famlasertib-treated D425 cells + bFGF compared to famlasertib-treated D425 cells - bFGF</w:t>
      </w:r>
      <w:r w:rsidRPr="00EC713D">
        <w:rPr>
          <w:sz w:val="20"/>
          <w:szCs w:val="20"/>
        </w:rPr>
        <w:t xml:space="preserve">. Comparison: Famla. + bFGF vs Famla. – bFGF. Treatments: Starvation:18h, famlasertib: 4h, 250 µM, </w:t>
      </w:r>
      <w:r w:rsidRPr="00EC713D">
        <w:rPr>
          <w:color w:val="000000"/>
          <w:sz w:val="20"/>
          <w:szCs w:val="20"/>
        </w:rPr>
        <w:t>bFGF: 50 ng/mL, 5 min</w:t>
      </w:r>
    </w:p>
    <w:p w14:paraId="6A1BB129" w14:textId="77777777" w:rsidR="00E3349B" w:rsidRPr="00EC713D" w:rsidRDefault="00E3349B" w:rsidP="00E3349B">
      <w:pPr>
        <w:pStyle w:val="NormalWeb"/>
        <w:spacing w:before="0" w:beforeAutospacing="0" w:after="0" w:afterAutospacing="0" w:line="480" w:lineRule="auto"/>
        <w:jc w:val="both"/>
        <w:rPr>
          <w:b/>
          <w:bCs/>
          <w:color w:val="000000"/>
          <w:sz w:val="20"/>
          <w:szCs w:val="20"/>
        </w:rPr>
      </w:pPr>
      <w:r w:rsidRPr="00EC713D">
        <w:rPr>
          <w:b/>
          <w:bCs/>
          <w:color w:val="000000"/>
          <w:sz w:val="20"/>
          <w:szCs w:val="20"/>
        </w:rPr>
        <w:t>Supplementary Table 3:</w:t>
      </w:r>
    </w:p>
    <w:p w14:paraId="4368741F"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color w:val="000000"/>
          <w:sz w:val="20"/>
          <w:szCs w:val="20"/>
        </w:rPr>
        <w:lastRenderedPageBreak/>
        <w:t>Significantly (</w:t>
      </w:r>
      <w:r w:rsidRPr="00EC713D">
        <w:rPr>
          <w:sz w:val="20"/>
          <w:szCs w:val="20"/>
        </w:rPr>
        <w:t xml:space="preserve">FDR ≤ 0.05 and log₂FC ≥ 0.6 or ≤ −0.6) altered phosphosites of the </w:t>
      </w:r>
      <w:r w:rsidRPr="00EC713D">
        <w:rPr>
          <w:color w:val="000000"/>
          <w:sz w:val="20"/>
          <w:szCs w:val="20"/>
        </w:rPr>
        <w:t>comparison of famlasertib-treated D425 cells - bFGF compared to DMSO-treated D425 cells - bFGF</w:t>
      </w:r>
      <w:r w:rsidRPr="00EC713D">
        <w:rPr>
          <w:sz w:val="20"/>
          <w:szCs w:val="20"/>
        </w:rPr>
        <w:t>. Comparison: Famla. – bFGF vs DMSO – bFGF. Treatments: Starvation:18h, famlasertib: 250 µM, 4h</w:t>
      </w:r>
    </w:p>
    <w:p w14:paraId="193B9744"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b/>
          <w:bCs/>
          <w:color w:val="000000"/>
          <w:sz w:val="20"/>
          <w:szCs w:val="20"/>
        </w:rPr>
        <w:t>Supplementary Table 4:</w:t>
      </w:r>
    </w:p>
    <w:p w14:paraId="1E26C28E"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color w:val="000000"/>
          <w:sz w:val="20"/>
          <w:szCs w:val="20"/>
        </w:rPr>
        <w:t>Significantly (</w:t>
      </w:r>
      <w:r w:rsidRPr="00EC713D">
        <w:rPr>
          <w:sz w:val="20"/>
          <w:szCs w:val="20"/>
        </w:rPr>
        <w:t xml:space="preserve">FDR ≤ 0.05 and log₂FC ≥ 0.6 or ≤ −0.6) altered phosphosites of the </w:t>
      </w:r>
      <w:r w:rsidRPr="00EC713D">
        <w:rPr>
          <w:color w:val="000000"/>
          <w:sz w:val="20"/>
          <w:szCs w:val="20"/>
        </w:rPr>
        <w:t>comparison of famlasertib-treated D425 cells + bFGF compared to DMSO-treated D425 cells + bFGF</w:t>
      </w:r>
      <w:r w:rsidRPr="00EC713D">
        <w:rPr>
          <w:sz w:val="20"/>
          <w:szCs w:val="20"/>
        </w:rPr>
        <w:t>. Comparison: Famla. + bFGF vs DMSO + bFGF. Treatments: Starvation:18h, famlasertib: 250 µM, 4h, bFGF: 50 ng/mL, 5 min</w:t>
      </w:r>
    </w:p>
    <w:p w14:paraId="50027390" w14:textId="77777777" w:rsidR="00E3349B" w:rsidRPr="00EC713D" w:rsidRDefault="00E3349B" w:rsidP="00E3349B">
      <w:pPr>
        <w:pStyle w:val="NormalWeb"/>
        <w:spacing w:before="0" w:beforeAutospacing="0" w:after="0" w:afterAutospacing="0" w:line="480" w:lineRule="auto"/>
        <w:jc w:val="both"/>
        <w:rPr>
          <w:b/>
          <w:bCs/>
          <w:color w:val="000000"/>
          <w:sz w:val="20"/>
          <w:szCs w:val="20"/>
        </w:rPr>
      </w:pPr>
      <w:r w:rsidRPr="00EC713D">
        <w:rPr>
          <w:b/>
          <w:bCs/>
          <w:color w:val="000000"/>
          <w:sz w:val="20"/>
          <w:szCs w:val="20"/>
        </w:rPr>
        <w:t>Supplementary Table 5:</w:t>
      </w:r>
    </w:p>
    <w:p w14:paraId="09183B13"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color w:val="000000"/>
          <w:sz w:val="20"/>
          <w:szCs w:val="20"/>
        </w:rPr>
        <w:t>Kinase Substrate Enrichment Analysis (KSEA)-predicted activated or repressed kinases (</w:t>
      </w:r>
      <w:r w:rsidRPr="00EC713D">
        <w:rPr>
          <w:sz w:val="20"/>
          <w:szCs w:val="20"/>
        </w:rPr>
        <w:t xml:space="preserve">FDR ≤ 0.1 and z-score ≥ 2.4 or ≤ −2.4) from the </w:t>
      </w:r>
      <w:r w:rsidRPr="00EC713D">
        <w:rPr>
          <w:color w:val="000000"/>
          <w:sz w:val="20"/>
          <w:szCs w:val="20"/>
        </w:rPr>
        <w:t>comparison of famlasertib-treated D425 cells - bFGF compared to DMSO-treated D425 cells - bFGF</w:t>
      </w:r>
      <w:r w:rsidRPr="00EC713D">
        <w:rPr>
          <w:sz w:val="20"/>
          <w:szCs w:val="20"/>
        </w:rPr>
        <w:t>. Comparison: Famla. – bFGF vs DMSO – bFGF. Treatments: Starvation: 18h, famlasertib: 250 µM, 4h</w:t>
      </w:r>
    </w:p>
    <w:p w14:paraId="019F00A1"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b/>
          <w:bCs/>
          <w:color w:val="000000"/>
          <w:sz w:val="20"/>
          <w:szCs w:val="20"/>
        </w:rPr>
        <w:t>Supplementary Table 6:</w:t>
      </w:r>
    </w:p>
    <w:p w14:paraId="4BE7C0DB"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color w:val="000000"/>
          <w:sz w:val="20"/>
          <w:szCs w:val="20"/>
        </w:rPr>
        <w:t>Kinase Substrate Enrichment Analysis (KSEA)-predicted activated or repressed kinases (</w:t>
      </w:r>
      <w:r w:rsidRPr="00EC713D">
        <w:rPr>
          <w:sz w:val="20"/>
          <w:szCs w:val="20"/>
        </w:rPr>
        <w:t xml:space="preserve">FDR ≤ 0.1 and z-score ≥ 2.4 or ≤ −2.4) from the </w:t>
      </w:r>
      <w:r w:rsidRPr="00EC713D">
        <w:rPr>
          <w:color w:val="000000"/>
          <w:sz w:val="20"/>
          <w:szCs w:val="20"/>
        </w:rPr>
        <w:t>comparison of famlasertib-treated D425 cells + bFGF compared to DMSO-treated D425 cells + bFGF</w:t>
      </w:r>
      <w:r w:rsidRPr="00EC713D">
        <w:rPr>
          <w:sz w:val="20"/>
          <w:szCs w:val="20"/>
        </w:rPr>
        <w:t>. Comparison: Famla. + bFGF vs DMSO + bFGF. Treatments: Starvation: 18h, famlasertib: 250 µM, bFGF: 50 ng/mL, 5 min 4h.</w:t>
      </w:r>
    </w:p>
    <w:p w14:paraId="14DE7D62"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b/>
          <w:bCs/>
          <w:color w:val="000000"/>
          <w:sz w:val="20"/>
          <w:szCs w:val="20"/>
        </w:rPr>
        <w:t>Supplementary Table 7:</w:t>
      </w:r>
    </w:p>
    <w:p w14:paraId="367CE627"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color w:val="000000"/>
          <w:sz w:val="20"/>
          <w:szCs w:val="20"/>
        </w:rPr>
        <w:t>Kinase Substrate Enrichment Analysis (KSEA)-predicted activated or repressed kinases (</w:t>
      </w:r>
      <w:r w:rsidRPr="00EC713D">
        <w:rPr>
          <w:sz w:val="20"/>
          <w:szCs w:val="20"/>
        </w:rPr>
        <w:t xml:space="preserve">FDR ≤ 0.1 and z-score ≥ 2.4 or ≤ −2.4) from the </w:t>
      </w:r>
      <w:r w:rsidRPr="00EC713D">
        <w:rPr>
          <w:color w:val="000000"/>
          <w:sz w:val="20"/>
          <w:szCs w:val="20"/>
        </w:rPr>
        <w:t>comparison of famlasertib-treated D425 cells + bFGF compared to famla-treated D425 cells - bFGF</w:t>
      </w:r>
      <w:r w:rsidRPr="00EC713D">
        <w:rPr>
          <w:sz w:val="20"/>
          <w:szCs w:val="20"/>
        </w:rPr>
        <w:t>. Comparison: Famla. + bFGF vs Famla.  - bFGF. Treatments: Starvation: 18h, famlasertib: 250 µM, bFGF: 50 ng/mL, 5 min 4h</w:t>
      </w:r>
    </w:p>
    <w:p w14:paraId="70963FEE" w14:textId="77777777" w:rsidR="00E3349B" w:rsidRPr="00EC713D" w:rsidRDefault="00E3349B" w:rsidP="00E3349B">
      <w:pPr>
        <w:pStyle w:val="NormalWeb"/>
        <w:spacing w:before="0" w:beforeAutospacing="0" w:after="0" w:afterAutospacing="0" w:line="480" w:lineRule="auto"/>
        <w:jc w:val="both"/>
        <w:rPr>
          <w:b/>
          <w:bCs/>
          <w:color w:val="000000"/>
          <w:sz w:val="20"/>
          <w:szCs w:val="20"/>
        </w:rPr>
      </w:pPr>
      <w:r w:rsidRPr="00EC713D">
        <w:rPr>
          <w:b/>
          <w:bCs/>
          <w:color w:val="000000"/>
          <w:sz w:val="20"/>
          <w:szCs w:val="20"/>
        </w:rPr>
        <w:t>Supplementary Table 8:</w:t>
      </w:r>
    </w:p>
    <w:p w14:paraId="4F1F7E87" w14:textId="77777777" w:rsidR="00E3349B" w:rsidRPr="00EC713D" w:rsidRDefault="00E3349B" w:rsidP="00E3349B">
      <w:pPr>
        <w:pStyle w:val="NormalWeb"/>
        <w:spacing w:before="0" w:beforeAutospacing="0" w:after="0" w:afterAutospacing="0" w:line="480" w:lineRule="auto"/>
        <w:jc w:val="both"/>
        <w:rPr>
          <w:sz w:val="20"/>
          <w:szCs w:val="20"/>
        </w:rPr>
      </w:pPr>
      <w:r w:rsidRPr="00EC713D">
        <w:rPr>
          <w:color w:val="000000"/>
          <w:sz w:val="20"/>
          <w:szCs w:val="20"/>
        </w:rPr>
        <w:t>RT-qPCR primers and siRNAs used</w:t>
      </w:r>
    </w:p>
    <w:p w14:paraId="0645DEA2" w14:textId="77777777" w:rsidR="00E3349B" w:rsidRPr="00EC713D" w:rsidRDefault="00E3349B" w:rsidP="00E3349B">
      <w:pPr>
        <w:pStyle w:val="NormalWeb"/>
        <w:spacing w:before="0" w:beforeAutospacing="0" w:after="0" w:afterAutospacing="0" w:line="480" w:lineRule="auto"/>
        <w:jc w:val="both"/>
        <w:rPr>
          <w:sz w:val="20"/>
          <w:szCs w:val="20"/>
        </w:rPr>
      </w:pPr>
    </w:p>
    <w:p w14:paraId="417A9B4F" w14:textId="77777777" w:rsidR="00E3349B" w:rsidRPr="00EC713D" w:rsidRDefault="00E3349B" w:rsidP="00E3349B">
      <w:pPr>
        <w:pStyle w:val="NormalWeb"/>
        <w:spacing w:before="0" w:beforeAutospacing="0" w:after="0" w:afterAutospacing="0" w:line="480" w:lineRule="auto"/>
        <w:jc w:val="both"/>
        <w:rPr>
          <w:color w:val="000000"/>
          <w:sz w:val="20"/>
          <w:szCs w:val="20"/>
        </w:rPr>
      </w:pPr>
    </w:p>
    <w:p w14:paraId="17A4F0DB" w14:textId="77777777" w:rsidR="00E3349B" w:rsidRPr="00EC713D" w:rsidRDefault="00E3349B" w:rsidP="00E3349B">
      <w:pPr>
        <w:pStyle w:val="NormalWeb"/>
        <w:spacing w:before="0" w:beforeAutospacing="0" w:after="0" w:afterAutospacing="0" w:line="480" w:lineRule="auto"/>
        <w:jc w:val="both"/>
        <w:rPr>
          <w:color w:val="000000"/>
          <w:sz w:val="20"/>
          <w:szCs w:val="20"/>
        </w:rPr>
      </w:pPr>
    </w:p>
    <w:p w14:paraId="656E3517" w14:textId="77777777" w:rsidR="00F553FF" w:rsidRDefault="00F553FF"/>
    <w:sectPr w:rsidR="00F5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49B"/>
    <w:rsid w:val="001D76CF"/>
    <w:rsid w:val="003C2EF4"/>
    <w:rsid w:val="00446799"/>
    <w:rsid w:val="00471820"/>
    <w:rsid w:val="006A7E07"/>
    <w:rsid w:val="00701021"/>
    <w:rsid w:val="00866E40"/>
    <w:rsid w:val="00B74216"/>
    <w:rsid w:val="00CF0FCC"/>
    <w:rsid w:val="00D62F8C"/>
    <w:rsid w:val="00DE06E6"/>
    <w:rsid w:val="00E3349B"/>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61879"/>
  <w15:chartTrackingRefBased/>
  <w15:docId w15:val="{0EBFF402-7882-40BE-888E-527EBF95B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49B"/>
    <w:pPr>
      <w:spacing w:line="259" w:lineRule="auto"/>
    </w:pPr>
    <w:rPr>
      <w:rFonts w:eastAsiaTheme="minorEastAsia"/>
      <w:sz w:val="22"/>
      <w:szCs w:val="22"/>
      <w:lang w:eastAsia="zh-CN"/>
    </w:rPr>
  </w:style>
  <w:style w:type="paragraph" w:styleId="Heading1">
    <w:name w:val="heading 1"/>
    <w:basedOn w:val="Normal"/>
    <w:next w:val="Normal"/>
    <w:link w:val="Heading1Char"/>
    <w:uiPriority w:val="9"/>
    <w:qFormat/>
    <w:rsid w:val="00E3349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E3349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E3349B"/>
    <w:pPr>
      <w:keepNext/>
      <w:keepLines/>
      <w:spacing w:before="160" w:after="80" w:line="278"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E3349B"/>
    <w:pPr>
      <w:keepNext/>
      <w:keepLines/>
      <w:spacing w:before="80" w:after="40" w:line="278" w:lineRule="auto"/>
      <w:outlineLvl w:val="3"/>
    </w:pPr>
    <w:rPr>
      <w:rFonts w:eastAsiaTheme="majorEastAsia" w:cstheme="majorBidi"/>
      <w:i/>
      <w:iCs/>
      <w:color w:val="0F4761" w:themeColor="accent1" w:themeShade="BF"/>
      <w:sz w:val="24"/>
      <w:szCs w:val="24"/>
      <w:lang w:eastAsia="en-US"/>
    </w:rPr>
  </w:style>
  <w:style w:type="paragraph" w:styleId="Heading5">
    <w:name w:val="heading 5"/>
    <w:basedOn w:val="Normal"/>
    <w:next w:val="Normal"/>
    <w:link w:val="Heading5Char"/>
    <w:uiPriority w:val="9"/>
    <w:semiHidden/>
    <w:unhideWhenUsed/>
    <w:qFormat/>
    <w:rsid w:val="00E3349B"/>
    <w:pPr>
      <w:keepNext/>
      <w:keepLines/>
      <w:spacing w:before="80" w:after="40" w:line="278" w:lineRule="auto"/>
      <w:outlineLvl w:val="4"/>
    </w:pPr>
    <w:rPr>
      <w:rFonts w:eastAsiaTheme="majorEastAsia" w:cstheme="majorBidi"/>
      <w:color w:val="0F4761" w:themeColor="accent1" w:themeShade="BF"/>
      <w:sz w:val="24"/>
      <w:szCs w:val="24"/>
      <w:lang w:eastAsia="en-US"/>
    </w:rPr>
  </w:style>
  <w:style w:type="paragraph" w:styleId="Heading6">
    <w:name w:val="heading 6"/>
    <w:basedOn w:val="Normal"/>
    <w:next w:val="Normal"/>
    <w:link w:val="Heading6Char"/>
    <w:uiPriority w:val="9"/>
    <w:semiHidden/>
    <w:unhideWhenUsed/>
    <w:qFormat/>
    <w:rsid w:val="00E3349B"/>
    <w:pPr>
      <w:keepNext/>
      <w:keepLines/>
      <w:spacing w:before="40" w:after="0" w:line="278" w:lineRule="auto"/>
      <w:outlineLvl w:val="5"/>
    </w:pPr>
    <w:rPr>
      <w:rFonts w:eastAsiaTheme="majorEastAsia" w:cstheme="majorBidi"/>
      <w:i/>
      <w:iCs/>
      <w:color w:val="595959" w:themeColor="text1" w:themeTint="A6"/>
      <w:sz w:val="24"/>
      <w:szCs w:val="24"/>
      <w:lang w:eastAsia="en-US"/>
    </w:rPr>
  </w:style>
  <w:style w:type="paragraph" w:styleId="Heading7">
    <w:name w:val="heading 7"/>
    <w:basedOn w:val="Normal"/>
    <w:next w:val="Normal"/>
    <w:link w:val="Heading7Char"/>
    <w:uiPriority w:val="9"/>
    <w:semiHidden/>
    <w:unhideWhenUsed/>
    <w:qFormat/>
    <w:rsid w:val="00E3349B"/>
    <w:pPr>
      <w:keepNext/>
      <w:keepLines/>
      <w:spacing w:before="40" w:after="0" w:line="278" w:lineRule="auto"/>
      <w:outlineLvl w:val="6"/>
    </w:pPr>
    <w:rPr>
      <w:rFonts w:eastAsiaTheme="majorEastAsia" w:cstheme="majorBidi"/>
      <w:color w:val="595959" w:themeColor="text1" w:themeTint="A6"/>
      <w:sz w:val="24"/>
      <w:szCs w:val="24"/>
      <w:lang w:eastAsia="en-US"/>
    </w:rPr>
  </w:style>
  <w:style w:type="paragraph" w:styleId="Heading8">
    <w:name w:val="heading 8"/>
    <w:basedOn w:val="Normal"/>
    <w:next w:val="Normal"/>
    <w:link w:val="Heading8Char"/>
    <w:uiPriority w:val="9"/>
    <w:semiHidden/>
    <w:unhideWhenUsed/>
    <w:qFormat/>
    <w:rsid w:val="00E3349B"/>
    <w:pPr>
      <w:keepNext/>
      <w:keepLines/>
      <w:spacing w:after="0" w:line="278" w:lineRule="auto"/>
      <w:outlineLvl w:val="7"/>
    </w:pPr>
    <w:rPr>
      <w:rFonts w:eastAsiaTheme="majorEastAsia" w:cstheme="majorBidi"/>
      <w:i/>
      <w:iCs/>
      <w:color w:val="272727" w:themeColor="text1" w:themeTint="D8"/>
      <w:sz w:val="24"/>
      <w:szCs w:val="24"/>
      <w:lang w:eastAsia="en-US"/>
    </w:rPr>
  </w:style>
  <w:style w:type="paragraph" w:styleId="Heading9">
    <w:name w:val="heading 9"/>
    <w:basedOn w:val="Normal"/>
    <w:next w:val="Normal"/>
    <w:link w:val="Heading9Char"/>
    <w:uiPriority w:val="9"/>
    <w:semiHidden/>
    <w:unhideWhenUsed/>
    <w:qFormat/>
    <w:rsid w:val="00E3349B"/>
    <w:pPr>
      <w:keepNext/>
      <w:keepLines/>
      <w:spacing w:after="0" w:line="278" w:lineRule="auto"/>
      <w:outlineLvl w:val="8"/>
    </w:pPr>
    <w:rPr>
      <w:rFonts w:eastAsiaTheme="majorEastAsia" w:cstheme="majorBidi"/>
      <w:color w:val="272727" w:themeColor="text1" w:themeTint="D8"/>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4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4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4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4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4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4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4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4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49B"/>
    <w:rPr>
      <w:rFonts w:eastAsiaTheme="majorEastAsia" w:cstheme="majorBidi"/>
      <w:color w:val="272727" w:themeColor="text1" w:themeTint="D8"/>
    </w:rPr>
  </w:style>
  <w:style w:type="paragraph" w:styleId="Title">
    <w:name w:val="Title"/>
    <w:basedOn w:val="Normal"/>
    <w:next w:val="Normal"/>
    <w:link w:val="TitleChar"/>
    <w:uiPriority w:val="10"/>
    <w:qFormat/>
    <w:rsid w:val="00E3349B"/>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E334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49B"/>
    <w:pPr>
      <w:numPr>
        <w:ilvl w:val="1"/>
      </w:numPr>
      <w:spacing w:line="278"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E334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49B"/>
    <w:pPr>
      <w:spacing w:before="160" w:line="278" w:lineRule="auto"/>
      <w:jc w:val="center"/>
    </w:pPr>
    <w:rPr>
      <w:rFonts w:eastAsiaTheme="minorHAnsi"/>
      <w:i/>
      <w:iCs/>
      <w:color w:val="404040" w:themeColor="text1" w:themeTint="BF"/>
      <w:sz w:val="24"/>
      <w:szCs w:val="24"/>
      <w:lang w:eastAsia="en-US"/>
    </w:rPr>
  </w:style>
  <w:style w:type="character" w:customStyle="1" w:styleId="QuoteChar">
    <w:name w:val="Quote Char"/>
    <w:basedOn w:val="DefaultParagraphFont"/>
    <w:link w:val="Quote"/>
    <w:uiPriority w:val="29"/>
    <w:rsid w:val="00E3349B"/>
    <w:rPr>
      <w:i/>
      <w:iCs/>
      <w:color w:val="404040" w:themeColor="text1" w:themeTint="BF"/>
    </w:rPr>
  </w:style>
  <w:style w:type="paragraph" w:styleId="ListParagraph">
    <w:name w:val="List Paragraph"/>
    <w:basedOn w:val="Normal"/>
    <w:uiPriority w:val="34"/>
    <w:qFormat/>
    <w:rsid w:val="00E3349B"/>
    <w:pPr>
      <w:spacing w:line="278" w:lineRule="auto"/>
      <w:ind w:left="720"/>
      <w:contextualSpacing/>
    </w:pPr>
    <w:rPr>
      <w:rFonts w:eastAsiaTheme="minorHAnsi"/>
      <w:sz w:val="24"/>
      <w:szCs w:val="24"/>
      <w:lang w:eastAsia="en-US"/>
    </w:rPr>
  </w:style>
  <w:style w:type="character" w:styleId="IntenseEmphasis">
    <w:name w:val="Intense Emphasis"/>
    <w:basedOn w:val="DefaultParagraphFont"/>
    <w:uiPriority w:val="21"/>
    <w:qFormat/>
    <w:rsid w:val="00E3349B"/>
    <w:rPr>
      <w:i/>
      <w:iCs/>
      <w:color w:val="0F4761" w:themeColor="accent1" w:themeShade="BF"/>
    </w:rPr>
  </w:style>
  <w:style w:type="paragraph" w:styleId="IntenseQuote">
    <w:name w:val="Intense Quote"/>
    <w:basedOn w:val="Normal"/>
    <w:next w:val="Normal"/>
    <w:link w:val="IntenseQuoteChar"/>
    <w:uiPriority w:val="30"/>
    <w:qFormat/>
    <w:rsid w:val="00E334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szCs w:val="24"/>
      <w:lang w:eastAsia="en-US"/>
    </w:rPr>
  </w:style>
  <w:style w:type="character" w:customStyle="1" w:styleId="IntenseQuoteChar">
    <w:name w:val="Intense Quote Char"/>
    <w:basedOn w:val="DefaultParagraphFont"/>
    <w:link w:val="IntenseQuote"/>
    <w:uiPriority w:val="30"/>
    <w:rsid w:val="00E3349B"/>
    <w:rPr>
      <w:i/>
      <w:iCs/>
      <w:color w:val="0F4761" w:themeColor="accent1" w:themeShade="BF"/>
    </w:rPr>
  </w:style>
  <w:style w:type="character" w:styleId="IntenseReference">
    <w:name w:val="Intense Reference"/>
    <w:basedOn w:val="DefaultParagraphFont"/>
    <w:uiPriority w:val="32"/>
    <w:qFormat/>
    <w:rsid w:val="00E3349B"/>
    <w:rPr>
      <w:b/>
      <w:bCs/>
      <w:smallCaps/>
      <w:color w:val="0F4761" w:themeColor="accent1" w:themeShade="BF"/>
      <w:spacing w:val="5"/>
    </w:rPr>
  </w:style>
  <w:style w:type="character" w:customStyle="1" w:styleId="apple-converted-space">
    <w:name w:val="apple-converted-space"/>
    <w:basedOn w:val="DefaultParagraphFont"/>
    <w:rsid w:val="00E3349B"/>
  </w:style>
  <w:style w:type="paragraph" w:styleId="NormalWeb">
    <w:name w:val="Normal (Web)"/>
    <w:basedOn w:val="Normal"/>
    <w:uiPriority w:val="99"/>
    <w:unhideWhenUsed/>
    <w:rsid w:val="00E3349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3455</Characters>
  <Application>Microsoft Office Word</Application>
  <DocSecurity>0</DocSecurity>
  <Lines>28</Lines>
  <Paragraphs>8</Paragraphs>
  <ScaleCrop>false</ScaleCrop>
  <Company>Springer Nature</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2026-09-25T10:39:00Z</dcterms:created>
  <dcterms:modified xsi:type="dcterms:W3CDTF">2026-09-25T10:39:00Z</dcterms:modified>
</cp:coreProperties>
</file>