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508359" w14:textId="1EFF754F" w:rsidR="001D1D33" w:rsidRDefault="005C74E7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5C74E7">
        <w:rPr>
          <w:rFonts w:ascii="Times New Roman" w:eastAsia="Times New Roman" w:hAnsi="Times New Roman" w:cs="Times New Roman"/>
          <w:b/>
          <w:bCs/>
        </w:rPr>
        <w:t>Supplementary Table 1</w:t>
      </w:r>
      <w:r w:rsidR="000D7683">
        <w:rPr>
          <w:rFonts w:ascii="Times New Roman" w:eastAsia="Times New Roman" w:hAnsi="Times New Roman" w:cs="Times New Roman"/>
          <w:b/>
          <w:bCs/>
        </w:rPr>
        <w:t xml:space="preserve">. </w:t>
      </w:r>
      <w:r w:rsidR="002F6A3A" w:rsidRPr="002F6A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D1D33" w:rsidRPr="001D1D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Most commonly documented comorbid conditions among CSHCS beneficiaries with epilepsy, 2016–2022</w:t>
      </w:r>
    </w:p>
    <w:p w14:paraId="000005C4" w14:textId="77777777" w:rsidR="00C813D2" w:rsidRDefault="00435AB4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362079C1" wp14:editId="16EBAAC5">
            <wp:extent cx="5943600" cy="4400881"/>
            <wp:effectExtent l="0" t="0" r="0" b="0"/>
            <wp:docPr id="1771237498" name="Chart 177123749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797D42BF" w14:textId="399E0452" w:rsidR="001E76C8" w:rsidRPr="00B3758F" w:rsidRDefault="00435AB4" w:rsidP="001E76C8">
      <w:pPr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</w:pPr>
      <w:r w:rsidRPr="00B3758F">
        <w:rPr>
          <w:rFonts w:ascii="Times New Roman" w:eastAsia="Times New Roman" w:hAnsi="Times New Roman" w:cs="Times New Roman"/>
          <w:b/>
          <w:bCs/>
          <w:sz w:val="18"/>
          <w:szCs w:val="18"/>
        </w:rPr>
        <w:t>Note</w:t>
      </w:r>
      <w:r w:rsidR="00B3758F" w:rsidRPr="00B3758F">
        <w:rPr>
          <w:rFonts w:ascii="Times New Roman" w:eastAsia="Times New Roman" w:hAnsi="Times New Roman" w:cs="Times New Roman"/>
          <w:b/>
          <w:bCs/>
          <w:sz w:val="18"/>
          <w:szCs w:val="18"/>
        </w:rPr>
        <w:t>:</w:t>
      </w:r>
      <w:r w:rsidR="00B3758F" w:rsidRPr="00B3758F">
        <w:rPr>
          <w:rFonts w:ascii="Times New Roman" w:eastAsia="Times New Roman" w:hAnsi="Times New Roman" w:cs="Times New Roman"/>
          <w:sz w:val="18"/>
          <w:szCs w:val="18"/>
        </w:rPr>
        <w:t xml:space="preserve"> Conditions</w:t>
      </w:r>
      <w:r w:rsidR="001E76C8" w:rsidRPr="00B3758F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 xml:space="preserve"> were identified from ICD-10-CM codes recorded in CSHCS administrative documentation using an ever-documented approach. Percentages are shown among beneficiaries with at least one documented comorbidity, n = 2,503, and among the full epilepsy cohort, n = 8,499. Conditions with frequency &lt;20 were aggregated into broader categories for stability. Asthma, ICD-10-CM </w:t>
      </w:r>
      <w:r w:rsidR="009555F4" w:rsidRPr="009555F4">
        <w:rPr>
          <w:rFonts w:ascii="Times New Roman" w:eastAsia="Times New Roman" w:hAnsi="Times New Roman" w:cs="Times New Roman"/>
          <w:i/>
          <w:iCs/>
          <w:sz w:val="18"/>
          <w:szCs w:val="18"/>
        </w:rPr>
        <w:t>J45.*,</w:t>
      </w:r>
      <w:r w:rsidR="001E76C8" w:rsidRPr="00B3758F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 xml:space="preserve"> is shown separately due to clinical relevance and was excluded from the aggregated chronic respiratory conditions category to avoid double-counting.</w:t>
      </w:r>
    </w:p>
    <w:p w14:paraId="7CEEB851" w14:textId="55768B6D" w:rsidR="00B561C7" w:rsidRDefault="00EA089E">
      <w:pPr>
        <w:rPr>
          <w:rFonts w:ascii="Times New Roman" w:eastAsia="Times New Roman" w:hAnsi="Times New Roman" w:cs="Times New Roman"/>
          <w:i/>
          <w:iCs/>
          <w:sz w:val="19"/>
          <w:szCs w:val="19"/>
        </w:rPr>
      </w:pPr>
      <w:r w:rsidRPr="00EA089E">
        <w:rPr>
          <w:rFonts w:ascii="Times New Roman" w:eastAsia="Times New Roman" w:hAnsi="Times New Roman" w:cs="Times New Roman"/>
          <w:i/>
          <w:iCs/>
          <w:sz w:val="19"/>
          <w:szCs w:val="19"/>
        </w:rPr>
        <w:t>.</w:t>
      </w:r>
    </w:p>
    <w:p w14:paraId="000005C7" w14:textId="7E15E517" w:rsidR="00627F7F" w:rsidRPr="002664E0" w:rsidRDefault="00627F7F">
      <w:pPr>
        <w:rPr>
          <w:rFonts w:ascii="Times New Roman" w:eastAsia="Times New Roman" w:hAnsi="Times New Roman" w:cs="Times New Roman"/>
          <w:sz w:val="19"/>
          <w:szCs w:val="19"/>
        </w:rPr>
        <w:sectPr w:rsidR="00627F7F" w:rsidRPr="002664E0">
          <w:headerReference w:type="default" r:id="rId9"/>
          <w:footerReference w:type="default" r:id="rId10"/>
          <w:pgSz w:w="12240" w:h="15840"/>
          <w:pgMar w:top="1440" w:right="1440" w:bottom="1440" w:left="1440" w:header="720" w:footer="720" w:gutter="0"/>
          <w:cols w:space="720"/>
        </w:sectPr>
      </w:pPr>
    </w:p>
    <w:p w14:paraId="000005C9" w14:textId="1885BCC7" w:rsidR="00425895" w:rsidRPr="00425895" w:rsidRDefault="00425895" w:rsidP="00425895">
      <w:pPr>
        <w:spacing w:before="240" w:after="240"/>
        <w:rPr>
          <w:rFonts w:ascii="Times New Roman" w:eastAsia="Times New Roman" w:hAnsi="Times New Roman" w:cs="Times New Roman"/>
          <w:sz w:val="18"/>
          <w:szCs w:val="18"/>
        </w:rPr>
        <w:sectPr w:rsidR="00425895" w:rsidRPr="00425895">
          <w:type w:val="continuous"/>
          <w:pgSz w:w="12240" w:h="15840"/>
          <w:pgMar w:top="1440" w:right="1440" w:bottom="1440" w:left="1440" w:header="720" w:footer="720" w:gutter="0"/>
          <w:cols w:space="720"/>
        </w:sectPr>
      </w:pPr>
    </w:p>
    <w:tbl>
      <w:tblPr>
        <w:tblStyle w:val="a4"/>
        <w:tblpPr w:leftFromText="180" w:rightFromText="180" w:vertAnchor="page" w:horzAnchor="margin" w:tblpXSpec="center" w:tblpY="2067"/>
        <w:tblW w:w="13830" w:type="dxa"/>
        <w:tblLayout w:type="fixed"/>
        <w:tblLook w:val="0400" w:firstRow="0" w:lastRow="0" w:firstColumn="0" w:lastColumn="0" w:noHBand="0" w:noVBand="1"/>
      </w:tblPr>
      <w:tblGrid>
        <w:gridCol w:w="1653"/>
        <w:gridCol w:w="586"/>
        <w:gridCol w:w="577"/>
        <w:gridCol w:w="522"/>
        <w:gridCol w:w="521"/>
        <w:gridCol w:w="553"/>
        <w:gridCol w:w="553"/>
        <w:gridCol w:w="737"/>
        <w:gridCol w:w="829"/>
        <w:gridCol w:w="737"/>
        <w:gridCol w:w="737"/>
        <w:gridCol w:w="829"/>
        <w:gridCol w:w="645"/>
        <w:gridCol w:w="645"/>
        <w:gridCol w:w="645"/>
        <w:gridCol w:w="829"/>
        <w:gridCol w:w="829"/>
        <w:gridCol w:w="829"/>
        <w:gridCol w:w="574"/>
      </w:tblGrid>
      <w:tr w:rsidR="009D1E50" w14:paraId="7C0A1BD3" w14:textId="77777777" w:rsidTr="00364E49">
        <w:trPr>
          <w:trHeight w:val="1044"/>
        </w:trPr>
        <w:tc>
          <w:tcPr>
            <w:tcW w:w="1653" w:type="dxa"/>
            <w:tcBorders>
              <w:top w:val="single" w:sz="8" w:space="0" w:color="D1D9E0"/>
              <w:left w:val="single" w:sz="8" w:space="0" w:color="D1D9E0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67914573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lastRenderedPageBreak/>
              <w:t>Condition</w:t>
            </w:r>
          </w:p>
        </w:tc>
        <w:tc>
          <w:tcPr>
            <w:tcW w:w="586" w:type="dxa"/>
            <w:tcBorders>
              <w:top w:val="single" w:sz="8" w:space="0" w:color="D1D9E0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71F068FD" w14:textId="14B3E89B" w:rsidR="009D1E50" w:rsidRDefault="00364E49" w:rsidP="007C618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</w:rPr>
            </w:pPr>
            <w:r w:rsidRPr="00364E49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</w:rPr>
              <w:t>County-level income</w:t>
            </w:r>
          </w:p>
        </w:tc>
        <w:tc>
          <w:tcPr>
            <w:tcW w:w="577" w:type="dxa"/>
            <w:tcBorders>
              <w:top w:val="single" w:sz="8" w:space="0" w:color="D1D9E0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2EF8B410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</w:rPr>
              <w:t>Age (&lt;1)</w:t>
            </w:r>
          </w:p>
        </w:tc>
        <w:tc>
          <w:tcPr>
            <w:tcW w:w="522" w:type="dxa"/>
            <w:tcBorders>
              <w:top w:val="single" w:sz="8" w:space="0" w:color="D1D9E0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162090EC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</w:rPr>
              <w:t>Age (1-4)</w:t>
            </w:r>
          </w:p>
        </w:tc>
        <w:tc>
          <w:tcPr>
            <w:tcW w:w="521" w:type="dxa"/>
            <w:tcBorders>
              <w:top w:val="single" w:sz="8" w:space="0" w:color="D1D9E0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7A646FAB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</w:rPr>
              <w:t>Age (5-9)</w:t>
            </w:r>
          </w:p>
        </w:tc>
        <w:tc>
          <w:tcPr>
            <w:tcW w:w="553" w:type="dxa"/>
            <w:tcBorders>
              <w:top w:val="single" w:sz="8" w:space="0" w:color="D1D9E0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7A1CED53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</w:rPr>
              <w:t>Age (10-14)</w:t>
            </w:r>
          </w:p>
        </w:tc>
        <w:tc>
          <w:tcPr>
            <w:tcW w:w="553" w:type="dxa"/>
            <w:tcBorders>
              <w:top w:val="single" w:sz="8" w:space="0" w:color="D1D9E0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42C9933F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</w:rPr>
              <w:t>Age (15-17)</w:t>
            </w:r>
          </w:p>
        </w:tc>
        <w:tc>
          <w:tcPr>
            <w:tcW w:w="737" w:type="dxa"/>
            <w:tcBorders>
              <w:top w:val="single" w:sz="8" w:space="0" w:color="D1D9E0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4A22A8BC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</w:rPr>
              <w:t>Citizenship - No</w:t>
            </w:r>
          </w:p>
        </w:tc>
        <w:tc>
          <w:tcPr>
            <w:tcW w:w="829" w:type="dxa"/>
            <w:tcBorders>
              <w:top w:val="single" w:sz="8" w:space="0" w:color="D1D9E0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2EB00DC3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</w:rPr>
              <w:t>Epilepsy Type (Generalized)</w:t>
            </w:r>
          </w:p>
        </w:tc>
        <w:tc>
          <w:tcPr>
            <w:tcW w:w="737" w:type="dxa"/>
            <w:tcBorders>
              <w:top w:val="single" w:sz="8" w:space="0" w:color="D1D9E0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330CC709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</w:rPr>
              <w:t>Epilepsy Type (Unknown)</w:t>
            </w:r>
          </w:p>
        </w:tc>
        <w:tc>
          <w:tcPr>
            <w:tcW w:w="737" w:type="dxa"/>
            <w:tcBorders>
              <w:top w:val="single" w:sz="8" w:space="0" w:color="D1D9E0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0C3C6BE8" w14:textId="3FDAAE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</w:rPr>
              <w:t>Seizure Type (Status epilepticus/Unspecific)</w:t>
            </w:r>
          </w:p>
        </w:tc>
        <w:tc>
          <w:tcPr>
            <w:tcW w:w="829" w:type="dxa"/>
            <w:tcBorders>
              <w:top w:val="single" w:sz="8" w:space="0" w:color="D1D9E0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05044946" w14:textId="5B5FE6EC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</w:rPr>
              <w:t>Seizure Type (Generalized)</w:t>
            </w:r>
          </w:p>
        </w:tc>
        <w:tc>
          <w:tcPr>
            <w:tcW w:w="645" w:type="dxa"/>
            <w:tcBorders>
              <w:top w:val="single" w:sz="8" w:space="0" w:color="D1D9E0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758570DF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</w:rPr>
              <w:t>Race (Asian)</w:t>
            </w:r>
          </w:p>
        </w:tc>
        <w:tc>
          <w:tcPr>
            <w:tcW w:w="645" w:type="dxa"/>
            <w:tcBorders>
              <w:top w:val="single" w:sz="8" w:space="0" w:color="D1D9E0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1B4818E5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</w:rPr>
              <w:t>Race (Latino)</w:t>
            </w:r>
          </w:p>
        </w:tc>
        <w:tc>
          <w:tcPr>
            <w:tcW w:w="645" w:type="dxa"/>
            <w:tcBorders>
              <w:top w:val="single" w:sz="8" w:space="0" w:color="D1D9E0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37EFC2AA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</w:rPr>
              <w:t>Race (Blacks)</w:t>
            </w:r>
          </w:p>
        </w:tc>
        <w:tc>
          <w:tcPr>
            <w:tcW w:w="829" w:type="dxa"/>
            <w:tcBorders>
              <w:top w:val="single" w:sz="8" w:space="0" w:color="D1D9E0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040BB373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</w:rPr>
              <w:t>No of Neurologist (none)</w:t>
            </w:r>
          </w:p>
        </w:tc>
        <w:tc>
          <w:tcPr>
            <w:tcW w:w="829" w:type="dxa"/>
            <w:tcBorders>
              <w:top w:val="single" w:sz="8" w:space="0" w:color="D1D9E0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4FF00563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</w:rPr>
              <w:t>No of Neurologist (1-7)</w:t>
            </w:r>
          </w:p>
        </w:tc>
        <w:tc>
          <w:tcPr>
            <w:tcW w:w="829" w:type="dxa"/>
            <w:tcBorders>
              <w:top w:val="single" w:sz="8" w:space="0" w:color="D1D9E0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460B9329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</w:rPr>
              <w:t>No of Neurologist (8-20)</w:t>
            </w:r>
          </w:p>
        </w:tc>
        <w:tc>
          <w:tcPr>
            <w:tcW w:w="574" w:type="dxa"/>
            <w:tcBorders>
              <w:top w:val="single" w:sz="8" w:space="0" w:color="D1D9E0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451970D3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</w:rPr>
              <w:t>Region</w:t>
            </w:r>
          </w:p>
        </w:tc>
      </w:tr>
      <w:tr w:rsidR="009D1E50" w14:paraId="6D340DA4" w14:textId="77777777" w:rsidTr="00364E49">
        <w:trPr>
          <w:trHeight w:val="599"/>
        </w:trPr>
        <w:tc>
          <w:tcPr>
            <w:tcW w:w="1653" w:type="dxa"/>
            <w:tcBorders>
              <w:top w:val="nil"/>
              <w:left w:val="single" w:sz="8" w:space="0" w:color="D1D9E0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2ADA714E" w14:textId="77777777" w:rsidR="009D1E50" w:rsidRDefault="009D1E50" w:rsidP="007C6189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Cardiovascular and Circulatory Conditions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27C24C19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57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63EE1EAA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411B59D1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51517CA5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3E2797FD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0FFE9AC8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3584A447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3C9F056B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3B9FBA9B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79C692E3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51FE12B6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5294861A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26E971C8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64BED36E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07C211A2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3B2B3231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03316070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184D6BFA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D1E50" w14:paraId="142E5C0C" w14:textId="77777777" w:rsidTr="00364E49">
        <w:trPr>
          <w:trHeight w:val="314"/>
        </w:trPr>
        <w:tc>
          <w:tcPr>
            <w:tcW w:w="1653" w:type="dxa"/>
            <w:tcBorders>
              <w:top w:val="nil"/>
              <w:left w:val="single" w:sz="8" w:space="0" w:color="D1D9E0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00FC49CA" w14:textId="77777777" w:rsidR="009D1E50" w:rsidRDefault="009D1E50" w:rsidP="007C6189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Digestive System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0A48E8C1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57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2A15EBA3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25FD968C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0C853388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6D16A47F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18B18FE7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6EEA5CD1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2FF7BE34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4E48A988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549C9BAC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170D0A73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192B7877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33B929A0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617EA209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521B14FA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74008F43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5484F260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0B534297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D1E50" w14:paraId="6CCD1953" w14:textId="77777777" w:rsidTr="00364E49">
        <w:trPr>
          <w:trHeight w:val="314"/>
        </w:trPr>
        <w:tc>
          <w:tcPr>
            <w:tcW w:w="1653" w:type="dxa"/>
            <w:tcBorders>
              <w:top w:val="nil"/>
              <w:left w:val="single" w:sz="8" w:space="0" w:color="D1D9E0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518DECE2" w14:textId="77777777" w:rsidR="009D1E50" w:rsidRDefault="009D1E50" w:rsidP="007C6189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Nervous System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</w:tcPr>
          <w:p w14:paraId="65C0699E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57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21A0B994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2DFC1AD0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521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3B9D724F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223704E3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33C3372E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6328BAD2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2C9405B3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45AB5DB9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5A3756CD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1809D316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603179A4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651464AA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5A66B0A9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30943A9B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419925C6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2B4AF220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75377D41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</w:tr>
      <w:tr w:rsidR="009D1E50" w14:paraId="1B6FAF5D" w14:textId="77777777" w:rsidTr="00364E49">
        <w:trPr>
          <w:trHeight w:val="314"/>
        </w:trPr>
        <w:tc>
          <w:tcPr>
            <w:tcW w:w="1653" w:type="dxa"/>
            <w:tcBorders>
              <w:top w:val="nil"/>
              <w:left w:val="single" w:sz="8" w:space="0" w:color="D1D9E0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135188F4" w14:textId="77777777" w:rsidR="009D1E50" w:rsidRDefault="009D1E50" w:rsidP="007C6189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Ear Disorder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218A6201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57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54DE7CE8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766AA120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521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73B44873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664C5F7B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1AF7EDB1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34666A61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580BE53A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5B65C1AD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69C4015B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1F74F566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74FE3E55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58AA2782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12BA7DF8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177F6179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0CCB1249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65893E41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5D26253E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D1E50" w14:paraId="6B9A8F98" w14:textId="77777777" w:rsidTr="00364E49">
        <w:trPr>
          <w:trHeight w:val="599"/>
        </w:trPr>
        <w:tc>
          <w:tcPr>
            <w:tcW w:w="1653" w:type="dxa"/>
            <w:tcBorders>
              <w:top w:val="nil"/>
              <w:left w:val="single" w:sz="8" w:space="0" w:color="D1D9E0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26A75595" w14:textId="77777777" w:rsidR="009D1E50" w:rsidRDefault="009D1E50" w:rsidP="007C6189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Endocrine, Nutritional, and Metabolic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79A997BD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7A2F1894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7BCEEDC2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4C841F64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03B5192C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5593584B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10AF0EA4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26D15171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472E27CE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50B9D5D0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044C6D73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051EE079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0C9626AD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77568577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4D4B13E1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54467607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2E2ADBD6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3D406CCB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D1E50" w14:paraId="15E8756A" w14:textId="77777777" w:rsidTr="00364E49">
        <w:trPr>
          <w:trHeight w:val="314"/>
        </w:trPr>
        <w:tc>
          <w:tcPr>
            <w:tcW w:w="1653" w:type="dxa"/>
            <w:tcBorders>
              <w:top w:val="nil"/>
              <w:left w:val="single" w:sz="8" w:space="0" w:color="D1D9E0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2383B0FB" w14:textId="77777777" w:rsidR="009D1E50" w:rsidRDefault="009D1E50" w:rsidP="007C6189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Eye Disorder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771F300C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57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02834495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00EAC44D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521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49796BFB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52305AE3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241B93FA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5108ABAC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54AEB4C2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4D59570F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776DB975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4770A3A2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54BE0EE8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1A4EBB77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597A8E42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4DB06580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0332AC15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4A00472B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07B7168B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D1E50" w14:paraId="0413394A" w14:textId="77777777" w:rsidTr="00364E49">
        <w:trPr>
          <w:trHeight w:val="599"/>
        </w:trPr>
        <w:tc>
          <w:tcPr>
            <w:tcW w:w="1653" w:type="dxa"/>
            <w:tcBorders>
              <w:top w:val="nil"/>
              <w:left w:val="single" w:sz="8" w:space="0" w:color="D1D9E0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11ED2FB7" w14:textId="77777777" w:rsidR="009D1E50" w:rsidRDefault="009D1E50" w:rsidP="007C6189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Genetic / Chromosomal Disorder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6BD6F16F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57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2FF91634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01D58B82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521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785599B1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06F62699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2C337966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4DC51246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1C5AE791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66725ADF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4C151BDD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60DADAFA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3E612206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2F6324F6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098DB09C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1BBD0FD7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3F15634D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328F63A8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41EEDFF9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D1E50" w14:paraId="615F86CD" w14:textId="77777777" w:rsidTr="00364E49">
        <w:trPr>
          <w:trHeight w:val="402"/>
        </w:trPr>
        <w:tc>
          <w:tcPr>
            <w:tcW w:w="1653" w:type="dxa"/>
            <w:tcBorders>
              <w:top w:val="nil"/>
              <w:left w:val="single" w:sz="8" w:space="0" w:color="D1D9E0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70897996" w14:textId="77777777" w:rsidR="009D1E50" w:rsidRDefault="009D1E50" w:rsidP="007C6189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Hematologic System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3F3F58A8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7C38EF48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2F409D96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5CEA43DB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223A0386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26A5F2CA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475FF152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46B9AAA2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5BD3EC81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6C250107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62A56686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0373CD8B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0CA10BC4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194D0F82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3C58B5A2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323CE5AA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65436E1E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66E45A0D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D1E50" w14:paraId="3D9A6C85" w14:textId="77777777" w:rsidTr="00364E49">
        <w:trPr>
          <w:trHeight w:val="314"/>
        </w:trPr>
        <w:tc>
          <w:tcPr>
            <w:tcW w:w="1653" w:type="dxa"/>
            <w:tcBorders>
              <w:top w:val="nil"/>
              <w:left w:val="single" w:sz="8" w:space="0" w:color="D1D9E0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28C35DC3" w14:textId="77777777" w:rsidR="009D1E50" w:rsidRDefault="009D1E50" w:rsidP="007C6189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Injuries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7E531CD9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5586A006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28B5F54D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521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67904CC2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25DD9AC0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41867D49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5F812293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78183F0F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55382499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65E0EF0D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013FAE07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491BF9D6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514C5C0C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797406A8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7330541D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2017CAC2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4BCA2F72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268B0062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</w:tr>
      <w:tr w:rsidR="009D1E50" w14:paraId="2516B9E9" w14:textId="77777777" w:rsidTr="00364E49">
        <w:trPr>
          <w:trHeight w:val="599"/>
        </w:trPr>
        <w:tc>
          <w:tcPr>
            <w:tcW w:w="1653" w:type="dxa"/>
            <w:tcBorders>
              <w:top w:val="nil"/>
              <w:left w:val="single" w:sz="8" w:space="0" w:color="D1D9E0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6841F7A4" w14:textId="77777777" w:rsidR="009D1E50" w:rsidRDefault="009D1E50" w:rsidP="007C6189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Musculoskeletal and Connective Tissue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18E63E86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57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53F94CBB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1E0188AA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3BE4965C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4B690E87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185F3959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1827B8D1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46E9E738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16581927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4CC99D6C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6DA9112C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71CBCE40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32B46B48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4E8470B6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49E4E1DD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6CB9BCC4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2C8B911B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014A93DA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D1E50" w14:paraId="6ED59577" w14:textId="77777777" w:rsidTr="00364E49">
        <w:trPr>
          <w:trHeight w:val="314"/>
        </w:trPr>
        <w:tc>
          <w:tcPr>
            <w:tcW w:w="1653" w:type="dxa"/>
            <w:tcBorders>
              <w:top w:val="nil"/>
              <w:left w:val="single" w:sz="8" w:space="0" w:color="D1D9E0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73E6DD75" w14:textId="77777777" w:rsidR="009D1E50" w:rsidRDefault="009D1E50" w:rsidP="007C6189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Neoplasms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4B89BD6A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7E3468DD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3BA7F2ED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351F45B1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0BC157BE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134FCF98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77DBBD34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43F65C91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5D49F713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799869EB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67244A4A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7F4CB5D6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3CE8DB0A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4C27D1B1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2EA462F2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7374AA1D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5DAF1052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20120850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D1E50" w14:paraId="6C7ED9FB" w14:textId="77777777" w:rsidTr="00364E49">
        <w:trPr>
          <w:trHeight w:val="402"/>
        </w:trPr>
        <w:tc>
          <w:tcPr>
            <w:tcW w:w="1653" w:type="dxa"/>
            <w:tcBorders>
              <w:top w:val="nil"/>
              <w:left w:val="single" w:sz="8" w:space="0" w:color="D1D9E0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12D3DD1C" w14:textId="77777777" w:rsidR="009D1E50" w:rsidRDefault="009D1E50" w:rsidP="007C6189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Respiratory System Disease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31D94920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57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77D71DCC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129F1EC3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521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7D6BD7DB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2D44F587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498C1761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1E69CE30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5C17DB22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1A3E7D12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6A50ED95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3DB7695C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1D683969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426F2B84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3DE52D89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1C10BEA8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496EFD5C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41FA9374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6F8FA"/>
          </w:tcPr>
          <w:p w14:paraId="44F7AB99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</w:tr>
      <w:tr w:rsidR="009D1E50" w14:paraId="66D98843" w14:textId="77777777" w:rsidTr="00364E49">
        <w:trPr>
          <w:trHeight w:val="402"/>
        </w:trPr>
        <w:tc>
          <w:tcPr>
            <w:tcW w:w="1653" w:type="dxa"/>
            <w:tcBorders>
              <w:top w:val="nil"/>
              <w:left w:val="single" w:sz="8" w:space="0" w:color="D1D9E0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597D6460" w14:textId="77777777" w:rsidR="009D1E50" w:rsidRDefault="009D1E50" w:rsidP="007C6189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Renal System Disease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19D8399E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17273499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56198F06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2D90B0EC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22E01C1D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0AA337DD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32A2DD05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2D05EA73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57000B41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37BC8F69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57D67DF8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7DFD58CD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7B44BAB6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16BBDD45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40244B00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4B5E1BE9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74619C79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D1D9E0"/>
              <w:right w:val="single" w:sz="8" w:space="0" w:color="D1D9E0"/>
            </w:tcBorders>
            <w:shd w:val="clear" w:color="auto" w:fill="FFFFFF"/>
          </w:tcPr>
          <w:p w14:paraId="5FBCBE33" w14:textId="77777777" w:rsidR="009D1E50" w:rsidRDefault="009D1E50" w:rsidP="007C61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53E61E14" w14:textId="673B0171" w:rsidR="001D1D33" w:rsidRDefault="005C74E7" w:rsidP="007C6189">
      <w:pPr>
        <w:rPr>
          <w:rFonts w:ascii="Times New Roman" w:eastAsia="Times New Roman" w:hAnsi="Times New Roman" w:cs="Times New Roman"/>
          <w:b/>
          <w:bCs/>
        </w:rPr>
      </w:pPr>
      <w:r w:rsidRPr="005C74E7">
        <w:rPr>
          <w:rFonts w:ascii="Times New Roman" w:eastAsia="Times New Roman" w:hAnsi="Times New Roman" w:cs="Times New Roman"/>
          <w:b/>
          <w:bCs/>
        </w:rPr>
        <w:t xml:space="preserve">Supplementary Table </w:t>
      </w:r>
      <w:r>
        <w:rPr>
          <w:rFonts w:ascii="Times New Roman" w:eastAsia="Times New Roman" w:hAnsi="Times New Roman" w:cs="Times New Roman"/>
          <w:b/>
          <w:bCs/>
        </w:rPr>
        <w:t>2</w:t>
      </w:r>
      <w:r w:rsidR="00425895">
        <w:rPr>
          <w:rFonts w:ascii="Times New Roman" w:eastAsia="Times New Roman" w:hAnsi="Times New Roman" w:cs="Times New Roman"/>
          <w:b/>
          <w:bCs/>
        </w:rPr>
        <w:t xml:space="preserve">. </w:t>
      </w:r>
      <w:r w:rsidR="001D1D33" w:rsidRPr="001D1D33">
        <w:rPr>
          <w:rFonts w:ascii="Times New Roman" w:eastAsia="Times New Roman" w:hAnsi="Times New Roman" w:cs="Times New Roman"/>
          <w:b/>
          <w:bCs/>
        </w:rPr>
        <w:t>Summary matrix of statistically significant predictors for documented comorbidity categories among CSHCS beneficiaries with epilepsy</w:t>
      </w:r>
    </w:p>
    <w:p w14:paraId="00000701" w14:textId="788EEE6E" w:rsidR="00C813D2" w:rsidRPr="00782CDF" w:rsidRDefault="00435AB4">
      <w:pPr>
        <w:rPr>
          <w:rFonts w:ascii="Times New Roman" w:eastAsia="Times New Roman" w:hAnsi="Times New Roman" w:cs="Times New Roman"/>
          <w:b/>
          <w:bCs/>
          <w:i/>
          <w:iCs/>
        </w:rPr>
        <w:sectPr w:rsidR="00C813D2" w:rsidRPr="00782CDF">
          <w:pgSz w:w="15840" w:h="12240" w:orient="landscape"/>
          <w:pgMar w:top="1440" w:right="1440" w:bottom="1440" w:left="1440" w:header="720" w:footer="720" w:gutter="0"/>
          <w:cols w:space="720"/>
        </w:sectPr>
      </w:pPr>
      <w:r w:rsidRPr="00782CDF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Note: </w:t>
      </w:r>
      <w:r w:rsidR="00C35577" w:rsidRPr="00782CDF">
        <w:rPr>
          <w:rFonts w:ascii="Times New Roman" w:eastAsia="Times New Roman" w:hAnsi="Times New Roman" w:cs="Times New Roman"/>
          <w:i/>
          <w:iCs/>
          <w:sz w:val="18"/>
          <w:szCs w:val="18"/>
        </w:rPr>
        <w:t>This matrix displays statistically significant predictors, indicated by “x”, p &lt; 0.05, from separate multilevel logistic regression models for each documented comorbidity category among CSHCS beneficiaries with epilepsy who had at least one documented comorbidity, n = 2,503. The matrix is intended as a checklist of presence or absence of associations rather than a quantitative summary; therefore, row and column totals are not provided. Direction and magnitude of associations are not shown.</w:t>
      </w:r>
    </w:p>
    <w:p w14:paraId="00000703" w14:textId="65BFF5F1" w:rsidR="00C813D2" w:rsidRDefault="005C74E7">
      <w:pPr>
        <w:rPr>
          <w:rFonts w:ascii="Times New Roman" w:eastAsia="Times New Roman" w:hAnsi="Times New Roman" w:cs="Times New Roman"/>
          <w:b/>
          <w:bCs/>
        </w:rPr>
      </w:pPr>
      <w:r w:rsidRPr="005C74E7">
        <w:rPr>
          <w:rFonts w:ascii="Times New Roman" w:eastAsia="Times New Roman" w:hAnsi="Times New Roman" w:cs="Times New Roman"/>
          <w:b/>
          <w:bCs/>
        </w:rPr>
        <w:lastRenderedPageBreak/>
        <w:t xml:space="preserve">Supplementary Table </w:t>
      </w:r>
      <w:r>
        <w:rPr>
          <w:rFonts w:ascii="Times New Roman" w:eastAsia="Times New Roman" w:hAnsi="Times New Roman" w:cs="Times New Roman"/>
          <w:b/>
          <w:bCs/>
        </w:rPr>
        <w:t>3</w:t>
      </w:r>
      <w:r w:rsidR="00435AB4">
        <w:rPr>
          <w:rFonts w:ascii="Times New Roman" w:eastAsia="Times New Roman" w:hAnsi="Times New Roman" w:cs="Times New Roman"/>
          <w:b/>
          <w:bCs/>
        </w:rPr>
        <w:t xml:space="preserve">.  </w:t>
      </w:r>
      <w:r w:rsidR="00FD0827" w:rsidRPr="00FD0827">
        <w:rPr>
          <w:rFonts w:ascii="Times New Roman" w:eastAsia="Times New Roman" w:hAnsi="Times New Roman" w:cs="Times New Roman"/>
          <w:b/>
          <w:bCs/>
        </w:rPr>
        <w:t>Potential strategies to strengthen pediatric epilepsy ascertainment, comorbidity documentation, and care planning in Michigan</w:t>
      </w:r>
    </w:p>
    <w:tbl>
      <w:tblPr>
        <w:tblStyle w:val="a5"/>
        <w:tblW w:w="10800" w:type="dxa"/>
        <w:tblInd w:w="-7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65"/>
        <w:gridCol w:w="5475"/>
        <w:gridCol w:w="2160"/>
      </w:tblGrid>
      <w:tr w:rsidR="00C813D2" w14:paraId="24870357" w14:textId="77777777" w:rsidTr="004D5007">
        <w:trPr>
          <w:trHeight w:val="449"/>
        </w:trPr>
        <w:tc>
          <w:tcPr>
            <w:tcW w:w="3165" w:type="dxa"/>
          </w:tcPr>
          <w:p w14:paraId="00000704" w14:textId="77777777" w:rsidR="00C813D2" w:rsidRDefault="00435AB4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Recommendation Area</w:t>
            </w:r>
          </w:p>
        </w:tc>
        <w:tc>
          <w:tcPr>
            <w:tcW w:w="5475" w:type="dxa"/>
          </w:tcPr>
          <w:p w14:paraId="00000705" w14:textId="77777777" w:rsidR="00C813D2" w:rsidRDefault="00435AB4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Specific Recommendations</w:t>
            </w:r>
          </w:p>
        </w:tc>
        <w:tc>
          <w:tcPr>
            <w:tcW w:w="2160" w:type="dxa"/>
          </w:tcPr>
          <w:p w14:paraId="00000706" w14:textId="77777777" w:rsidR="00C813D2" w:rsidRPr="004D5007" w:rsidRDefault="00435AB4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 w:rsidRPr="004D5007">
              <w:rPr>
                <w:b/>
                <w:bCs/>
                <w:sz w:val="20"/>
                <w:szCs w:val="20"/>
                <w:highlight w:val="white"/>
              </w:rPr>
              <w:t>Implementer/Lead Stakeholder</w:t>
            </w:r>
          </w:p>
        </w:tc>
      </w:tr>
      <w:tr w:rsidR="00C813D2" w14:paraId="6A97E16B" w14:textId="77777777" w:rsidTr="004D5007">
        <w:trPr>
          <w:trHeight w:val="1932"/>
        </w:trPr>
        <w:tc>
          <w:tcPr>
            <w:tcW w:w="3165" w:type="dxa"/>
          </w:tcPr>
          <w:p w14:paraId="00000707" w14:textId="77777777" w:rsidR="00C813D2" w:rsidRDefault="00435AB4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Case Definition Consistency</w:t>
            </w:r>
          </w:p>
        </w:tc>
        <w:tc>
          <w:tcPr>
            <w:tcW w:w="5475" w:type="dxa"/>
          </w:tcPr>
          <w:p w14:paraId="00000708" w14:textId="387EA1E9" w:rsidR="00C813D2" w:rsidRDefault="00435AB4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B6555A" w:rsidRPr="00B6555A">
              <w:rPr>
                <w:sz w:val="20"/>
                <w:szCs w:val="20"/>
              </w:rPr>
              <w:t>When using administrative data, consider requiring repeated epilepsy diagnoses (e.g., G40) across time or using a validated algorithm to improve case identification consistency</w:t>
            </w:r>
            <w:r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br/>
              <w:t>- In survey studies, ask respondents if they have ever been diagnosed with epilepsy by a healthcare professional and if they have been on antiseizure medications for a significant period.</w:t>
            </w:r>
          </w:p>
        </w:tc>
        <w:tc>
          <w:tcPr>
            <w:tcW w:w="2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709" w14:textId="77777777" w:rsidR="00C813D2" w:rsidRPr="004D5007" w:rsidRDefault="00435AB4">
            <w:pPr>
              <w:spacing w:before="240" w:after="160" w:line="276" w:lineRule="auto"/>
              <w:rPr>
                <w:sz w:val="20"/>
                <w:szCs w:val="20"/>
              </w:rPr>
            </w:pPr>
            <w:r w:rsidRPr="004D5007">
              <w:rPr>
                <w:sz w:val="20"/>
                <w:szCs w:val="20"/>
              </w:rPr>
              <w:t>State and national public health agencies (MDHHS, CDC); academic researchers; hospital informatics teams</w:t>
            </w:r>
          </w:p>
        </w:tc>
      </w:tr>
      <w:tr w:rsidR="00C813D2" w14:paraId="5FAFA447" w14:textId="77777777">
        <w:trPr>
          <w:trHeight w:val="620"/>
        </w:trPr>
        <w:tc>
          <w:tcPr>
            <w:tcW w:w="3165" w:type="dxa"/>
          </w:tcPr>
          <w:p w14:paraId="0000070A" w14:textId="77777777" w:rsidR="00C813D2" w:rsidRDefault="00435AB4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Standardized Tracking &amp; Registry Development</w:t>
            </w:r>
          </w:p>
        </w:tc>
        <w:tc>
          <w:tcPr>
            <w:tcW w:w="5475" w:type="dxa"/>
          </w:tcPr>
          <w:p w14:paraId="0000070B" w14:textId="77777777" w:rsidR="00C813D2" w:rsidRDefault="00435AB4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Develop and implement nationwide/statewide epilepsy registries.</w:t>
            </w:r>
            <w:r>
              <w:rPr>
                <w:sz w:val="20"/>
                <w:szCs w:val="20"/>
              </w:rPr>
              <w:br/>
              <w:t>- Use comprehensive, linked datasets for better tracking of incidence, prevalence, and mortality.</w:t>
            </w:r>
          </w:p>
          <w:p w14:paraId="0000070C" w14:textId="77777777" w:rsidR="00C813D2" w:rsidRDefault="00435AB4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Pilot program that screens for epilepsy-related genetic markers during newborn screening with a goal of estimating logistics, identifying ethical concerns, and determining cost. </w:t>
            </w:r>
          </w:p>
        </w:tc>
        <w:tc>
          <w:tcPr>
            <w:tcW w:w="21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70D" w14:textId="77777777" w:rsidR="00C813D2" w:rsidRPr="004D5007" w:rsidRDefault="00435AB4">
            <w:pPr>
              <w:spacing w:before="240" w:after="160" w:line="276" w:lineRule="auto"/>
              <w:rPr>
                <w:sz w:val="20"/>
                <w:szCs w:val="20"/>
              </w:rPr>
            </w:pPr>
            <w:r w:rsidRPr="004D5007">
              <w:rPr>
                <w:sz w:val="20"/>
                <w:szCs w:val="20"/>
              </w:rPr>
              <w:t>State/federal agencies (MDHHS, CDC, HRSA); policymakers; hospital systems</w:t>
            </w:r>
          </w:p>
        </w:tc>
      </w:tr>
      <w:tr w:rsidR="00C813D2" w14:paraId="703E32E6" w14:textId="77777777">
        <w:trPr>
          <w:trHeight w:val="921"/>
        </w:trPr>
        <w:tc>
          <w:tcPr>
            <w:tcW w:w="3165" w:type="dxa"/>
          </w:tcPr>
          <w:p w14:paraId="0000070E" w14:textId="77777777" w:rsidR="00C813D2" w:rsidRDefault="00435AB4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Comorbidity Measurement &amp; Indexing</w:t>
            </w:r>
          </w:p>
        </w:tc>
        <w:tc>
          <w:tcPr>
            <w:tcW w:w="5475" w:type="dxa"/>
          </w:tcPr>
          <w:p w14:paraId="0000070F" w14:textId="77777777" w:rsidR="00C813D2" w:rsidRDefault="00435AB4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Develop and validate epilepsy-specific comorbidity indices.</w:t>
            </w:r>
            <w:r>
              <w:rPr>
                <w:sz w:val="20"/>
                <w:szCs w:val="20"/>
              </w:rPr>
              <w:br/>
              <w:t>- Standardize classification and reporting of comorbidities by organ system or other relevant categories.</w:t>
            </w:r>
          </w:p>
        </w:tc>
        <w:tc>
          <w:tcPr>
            <w:tcW w:w="21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710" w14:textId="24E7B7DB" w:rsidR="00C813D2" w:rsidRPr="004D5007" w:rsidRDefault="00435AB4">
            <w:pPr>
              <w:spacing w:before="240" w:after="160" w:line="276" w:lineRule="auto"/>
              <w:rPr>
                <w:sz w:val="20"/>
                <w:szCs w:val="20"/>
              </w:rPr>
            </w:pPr>
            <w:r w:rsidRPr="004D5007">
              <w:rPr>
                <w:sz w:val="20"/>
                <w:szCs w:val="20"/>
              </w:rPr>
              <w:t xml:space="preserve">Health </w:t>
            </w:r>
            <w:r w:rsidR="005D4AB7">
              <w:rPr>
                <w:sz w:val="20"/>
                <w:szCs w:val="20"/>
              </w:rPr>
              <w:t>i</w:t>
            </w:r>
            <w:r w:rsidRPr="004D5007">
              <w:rPr>
                <w:sz w:val="20"/>
                <w:szCs w:val="20"/>
              </w:rPr>
              <w:t xml:space="preserve">nformatics </w:t>
            </w:r>
            <w:r w:rsidR="005D4AB7">
              <w:rPr>
                <w:sz w:val="20"/>
                <w:szCs w:val="20"/>
              </w:rPr>
              <w:t>g</w:t>
            </w:r>
            <w:r w:rsidRPr="004D5007">
              <w:rPr>
                <w:sz w:val="20"/>
                <w:szCs w:val="20"/>
              </w:rPr>
              <w:t>roups; academic/clinical researchers; national research bodies</w:t>
            </w:r>
          </w:p>
        </w:tc>
      </w:tr>
      <w:tr w:rsidR="00C813D2" w14:paraId="1D338C1B" w14:textId="77777777">
        <w:trPr>
          <w:trHeight w:val="854"/>
        </w:trPr>
        <w:tc>
          <w:tcPr>
            <w:tcW w:w="3165" w:type="dxa"/>
          </w:tcPr>
          <w:p w14:paraId="00000711" w14:textId="77777777" w:rsidR="00C813D2" w:rsidRDefault="00435AB4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Longitudinal &amp; Etiology Studies</w:t>
            </w:r>
          </w:p>
        </w:tc>
        <w:tc>
          <w:tcPr>
            <w:tcW w:w="5475" w:type="dxa"/>
          </w:tcPr>
          <w:p w14:paraId="00000712" w14:textId="77777777" w:rsidR="00C813D2" w:rsidRDefault="00435AB4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Conduct longitudinal studies on the relationship between epilepsy and comorbidities.</w:t>
            </w:r>
            <w:r>
              <w:rPr>
                <w:sz w:val="20"/>
                <w:szCs w:val="20"/>
              </w:rPr>
              <w:br/>
              <w:t>- Refine classification by including cause, affected brain region, and etiology.</w:t>
            </w:r>
          </w:p>
        </w:tc>
        <w:tc>
          <w:tcPr>
            <w:tcW w:w="21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713" w14:textId="77777777" w:rsidR="00C813D2" w:rsidRPr="004D5007" w:rsidRDefault="00435AB4">
            <w:pPr>
              <w:spacing w:before="240" w:after="160" w:line="276" w:lineRule="auto"/>
              <w:rPr>
                <w:sz w:val="20"/>
                <w:szCs w:val="20"/>
              </w:rPr>
            </w:pPr>
            <w:r w:rsidRPr="004D5007">
              <w:rPr>
                <w:sz w:val="20"/>
                <w:szCs w:val="20"/>
              </w:rPr>
              <w:t>Academic researchers; research consortiums; healthcare systems</w:t>
            </w:r>
          </w:p>
        </w:tc>
      </w:tr>
      <w:tr w:rsidR="00C813D2" w14:paraId="5D92A6AC" w14:textId="77777777">
        <w:trPr>
          <w:trHeight w:val="804"/>
        </w:trPr>
        <w:tc>
          <w:tcPr>
            <w:tcW w:w="3165" w:type="dxa"/>
          </w:tcPr>
          <w:p w14:paraId="00000714" w14:textId="77777777" w:rsidR="00C813D2" w:rsidRDefault="00435AB4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Environmental &amp; SDOH Impact</w:t>
            </w:r>
          </w:p>
        </w:tc>
        <w:tc>
          <w:tcPr>
            <w:tcW w:w="5475" w:type="dxa"/>
          </w:tcPr>
          <w:p w14:paraId="00000715" w14:textId="77777777" w:rsidR="00C813D2" w:rsidRDefault="00435AB4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Investigate the effects of social determinants of health, insurance status, and environmental exposures (e.g., lead, PFAS) on epilepsy prevalence and comorbidities.</w:t>
            </w:r>
          </w:p>
        </w:tc>
        <w:tc>
          <w:tcPr>
            <w:tcW w:w="21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716" w14:textId="4D2813F2" w:rsidR="00C813D2" w:rsidRPr="004D5007" w:rsidRDefault="00435AB4">
            <w:pPr>
              <w:spacing w:before="240" w:after="160" w:line="276" w:lineRule="auto"/>
              <w:rPr>
                <w:sz w:val="20"/>
                <w:szCs w:val="20"/>
              </w:rPr>
            </w:pPr>
            <w:r w:rsidRPr="004D5007">
              <w:rPr>
                <w:sz w:val="20"/>
                <w:szCs w:val="20"/>
              </w:rPr>
              <w:t xml:space="preserve">Epidemiologists; </w:t>
            </w:r>
            <w:r w:rsidR="008373C2" w:rsidRPr="004D5007">
              <w:rPr>
                <w:sz w:val="20"/>
                <w:szCs w:val="20"/>
              </w:rPr>
              <w:t>MDHHS</w:t>
            </w:r>
            <w:r w:rsidR="008373C2">
              <w:rPr>
                <w:sz w:val="20"/>
                <w:szCs w:val="20"/>
              </w:rPr>
              <w:t>;</w:t>
            </w:r>
            <w:r w:rsidR="008373C2" w:rsidRPr="004D5007">
              <w:rPr>
                <w:sz w:val="20"/>
                <w:szCs w:val="20"/>
              </w:rPr>
              <w:t xml:space="preserve"> CDC</w:t>
            </w:r>
            <w:r w:rsidRPr="004D5007">
              <w:rPr>
                <w:sz w:val="20"/>
                <w:szCs w:val="20"/>
              </w:rPr>
              <w:t>; academic public health programs</w:t>
            </w:r>
          </w:p>
        </w:tc>
      </w:tr>
      <w:tr w:rsidR="00C813D2" w14:paraId="5E10FD88" w14:textId="77777777">
        <w:trPr>
          <w:trHeight w:val="935"/>
        </w:trPr>
        <w:tc>
          <w:tcPr>
            <w:tcW w:w="3165" w:type="dxa"/>
          </w:tcPr>
          <w:p w14:paraId="00000717" w14:textId="77777777" w:rsidR="00C813D2" w:rsidRDefault="00435AB4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Stakeholder Needs Assessment</w:t>
            </w:r>
          </w:p>
        </w:tc>
        <w:tc>
          <w:tcPr>
            <w:tcW w:w="5475" w:type="dxa"/>
          </w:tcPr>
          <w:p w14:paraId="00000718" w14:textId="77777777" w:rsidR="00C813D2" w:rsidRDefault="00435AB4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Survey parents/caregivers to understand informational, clinical, and psychosocial needs.</w:t>
            </w:r>
            <w:r>
              <w:rPr>
                <w:sz w:val="20"/>
                <w:szCs w:val="20"/>
              </w:rPr>
              <w:br/>
              <w:t>- Survey neurologists and providers to identify barriers to diagnosis, management, reporting, and care transitions.</w:t>
            </w:r>
          </w:p>
        </w:tc>
        <w:tc>
          <w:tcPr>
            <w:tcW w:w="21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719" w14:textId="77777777" w:rsidR="00C813D2" w:rsidRPr="004D5007" w:rsidRDefault="00435AB4">
            <w:pPr>
              <w:spacing w:before="240" w:after="160" w:line="276" w:lineRule="auto"/>
              <w:rPr>
                <w:sz w:val="20"/>
                <w:szCs w:val="20"/>
              </w:rPr>
            </w:pPr>
            <w:r w:rsidRPr="004D5007">
              <w:rPr>
                <w:sz w:val="20"/>
                <w:szCs w:val="20"/>
              </w:rPr>
              <w:t>Researchers; clinical teams; public health outreach coordinators</w:t>
            </w:r>
          </w:p>
        </w:tc>
      </w:tr>
      <w:tr w:rsidR="00C813D2" w14:paraId="4CDB3D92" w14:textId="77777777">
        <w:trPr>
          <w:trHeight w:val="941"/>
        </w:trPr>
        <w:tc>
          <w:tcPr>
            <w:tcW w:w="3165" w:type="dxa"/>
          </w:tcPr>
          <w:p w14:paraId="0000071A" w14:textId="77777777" w:rsidR="00C813D2" w:rsidRDefault="00435AB4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Policy, Public Health, &amp; Education</w:t>
            </w:r>
          </w:p>
        </w:tc>
        <w:tc>
          <w:tcPr>
            <w:tcW w:w="5475" w:type="dxa"/>
          </w:tcPr>
          <w:p w14:paraId="0000071B" w14:textId="77777777" w:rsidR="00C813D2" w:rsidRDefault="00435AB4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Use findings for targeted public health interventions and resource allocation.</w:t>
            </w:r>
            <w:r>
              <w:rPr>
                <w:sz w:val="20"/>
                <w:szCs w:val="20"/>
              </w:rPr>
              <w:br/>
              <w:t>- Enhance outreach and education to reduce stigma and support care delivery for comorbidities and epilepsy.</w:t>
            </w:r>
            <w:r>
              <w:rPr>
                <w:sz w:val="20"/>
                <w:szCs w:val="20"/>
              </w:rPr>
              <w:br/>
              <w:t>- Encourage policies that improve enrollment and data tracking, especially in underrepresented groups.</w:t>
            </w:r>
          </w:p>
        </w:tc>
        <w:tc>
          <w:tcPr>
            <w:tcW w:w="21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71C" w14:textId="77777777" w:rsidR="00C813D2" w:rsidRPr="004D5007" w:rsidRDefault="00435AB4">
            <w:pPr>
              <w:spacing w:before="240" w:after="160" w:line="276" w:lineRule="auto"/>
              <w:rPr>
                <w:sz w:val="20"/>
                <w:szCs w:val="20"/>
              </w:rPr>
            </w:pPr>
            <w:r w:rsidRPr="004D5007">
              <w:rPr>
                <w:sz w:val="20"/>
                <w:szCs w:val="20"/>
              </w:rPr>
              <w:t>State legislative bodies; policymakers; MDHHS; school districts/public health units</w:t>
            </w:r>
          </w:p>
        </w:tc>
      </w:tr>
      <w:tr w:rsidR="00C813D2" w14:paraId="11D5EAD9" w14:textId="77777777">
        <w:trPr>
          <w:trHeight w:val="123"/>
        </w:trPr>
        <w:tc>
          <w:tcPr>
            <w:tcW w:w="3165" w:type="dxa"/>
          </w:tcPr>
          <w:p w14:paraId="0000071D" w14:textId="77777777" w:rsidR="00C813D2" w:rsidRDefault="00435AB4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Death Monitoring &amp; SUDEP</w:t>
            </w:r>
          </w:p>
        </w:tc>
        <w:tc>
          <w:tcPr>
            <w:tcW w:w="5475" w:type="dxa"/>
          </w:tcPr>
          <w:p w14:paraId="0000071E" w14:textId="77777777" w:rsidR="00C813D2" w:rsidRDefault="00435AB4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Enhance tracking of epilepsy-related deaths and sudden unexpected deaths in epilepsy (SUDEP).</w:t>
            </w:r>
            <w:r>
              <w:rPr>
                <w:sz w:val="20"/>
                <w:szCs w:val="20"/>
              </w:rPr>
              <w:br/>
              <w:t>- Implement targeted education, prevention, and monitoring efforts to reduce mortality and injury risk.</w:t>
            </w:r>
          </w:p>
        </w:tc>
        <w:tc>
          <w:tcPr>
            <w:tcW w:w="21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71F" w14:textId="77777777" w:rsidR="00C813D2" w:rsidRPr="004D5007" w:rsidRDefault="00435AB4">
            <w:pPr>
              <w:spacing w:before="240" w:after="160" w:line="276" w:lineRule="auto"/>
              <w:rPr>
                <w:sz w:val="20"/>
                <w:szCs w:val="20"/>
              </w:rPr>
            </w:pPr>
            <w:r w:rsidRPr="004D5007">
              <w:rPr>
                <w:sz w:val="20"/>
                <w:szCs w:val="20"/>
              </w:rPr>
              <w:t>Medical examiners; state agencies; clinical educators; public health units</w:t>
            </w:r>
          </w:p>
        </w:tc>
      </w:tr>
      <w:tr w:rsidR="00C813D2" w14:paraId="569F5462" w14:textId="77777777">
        <w:trPr>
          <w:trHeight w:val="1304"/>
        </w:trPr>
        <w:tc>
          <w:tcPr>
            <w:tcW w:w="3165" w:type="dxa"/>
          </w:tcPr>
          <w:p w14:paraId="00000720" w14:textId="77777777" w:rsidR="00C813D2" w:rsidRDefault="00435AB4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Transition of Care Research</w:t>
            </w:r>
          </w:p>
        </w:tc>
        <w:tc>
          <w:tcPr>
            <w:tcW w:w="5475" w:type="dxa"/>
          </w:tcPr>
          <w:p w14:paraId="00000721" w14:textId="77777777" w:rsidR="00C813D2" w:rsidRDefault="00435AB4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Investigate transition of care needs from adolescence to adulthood, including service use, insurance coverage, and patient satisfaction.</w:t>
            </w:r>
            <w:r>
              <w:rPr>
                <w:sz w:val="20"/>
                <w:szCs w:val="20"/>
              </w:rPr>
              <w:br/>
              <w:t>- Survey patients, families, and providers on gaps and optimal transition practices.</w:t>
            </w:r>
          </w:p>
        </w:tc>
        <w:tc>
          <w:tcPr>
            <w:tcW w:w="21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000722" w14:textId="77777777" w:rsidR="00C813D2" w:rsidRPr="004D5007" w:rsidRDefault="00435AB4">
            <w:pPr>
              <w:spacing w:before="240" w:after="160" w:line="276" w:lineRule="auto"/>
              <w:rPr>
                <w:sz w:val="20"/>
                <w:szCs w:val="20"/>
              </w:rPr>
            </w:pPr>
            <w:r w:rsidRPr="004D5007">
              <w:rPr>
                <w:sz w:val="20"/>
                <w:szCs w:val="20"/>
              </w:rPr>
              <w:t>Researchers; clinical transition teams; policymakers; patient advocacy organizations</w:t>
            </w:r>
          </w:p>
        </w:tc>
      </w:tr>
    </w:tbl>
    <w:p w14:paraId="00000723" w14:textId="77777777" w:rsidR="00C813D2" w:rsidRDefault="00C813D2">
      <w:pPr>
        <w:rPr>
          <w:rFonts w:ascii="Times New Roman" w:eastAsia="Times New Roman" w:hAnsi="Times New Roman" w:cs="Times New Roman"/>
          <w:b/>
          <w:bCs/>
        </w:rPr>
      </w:pPr>
    </w:p>
    <w:sectPr w:rsidR="00C813D2"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265A85" w14:textId="77777777" w:rsidR="002875E9" w:rsidRDefault="002875E9">
      <w:pPr>
        <w:spacing w:after="0" w:line="240" w:lineRule="auto"/>
      </w:pPr>
      <w:r>
        <w:separator/>
      </w:r>
    </w:p>
  </w:endnote>
  <w:endnote w:type="continuationSeparator" w:id="0">
    <w:p w14:paraId="72FDF06D" w14:textId="77777777" w:rsidR="002875E9" w:rsidRDefault="002875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D5715FBE-821B-4636-8347-B181CAC338FB}"/>
    <w:embedBold r:id="rId2" w:fontKey="{40AF6C5A-2109-4298-8BFF-2C882FDD5264}"/>
    <w:embedItalic r:id="rId3" w:fontKey="{965817C0-57E2-4E4C-92A0-EA616853022D}"/>
  </w:font>
  <w:font w:name="Play">
    <w:charset w:val="00"/>
    <w:family w:val="auto"/>
    <w:pitch w:val="default"/>
    <w:embedRegular r:id="rId4" w:fontKey="{2FF99A9B-3827-45FF-A169-E9EB3624D0AB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5" w:fontKey="{D88F1B75-B4A0-4582-9BEF-09B1B2D74B7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724" w14:textId="2BB11DB5" w:rsidR="00C813D2" w:rsidRDefault="00435AB4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745A8D">
      <w:rPr>
        <w:noProof/>
        <w:color w:val="000000"/>
      </w:rPr>
      <w:t>1</w:t>
    </w:r>
    <w:r>
      <w:rPr>
        <w:color w:val="000000"/>
      </w:rPr>
      <w:fldChar w:fldCharType="end"/>
    </w:r>
  </w:p>
  <w:p w14:paraId="00000725" w14:textId="77777777" w:rsidR="00C813D2" w:rsidRDefault="00C813D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4696AA" w14:textId="77777777" w:rsidR="002875E9" w:rsidRDefault="002875E9">
      <w:pPr>
        <w:spacing w:after="0" w:line="240" w:lineRule="auto"/>
      </w:pPr>
      <w:r>
        <w:separator/>
      </w:r>
    </w:p>
  </w:footnote>
  <w:footnote w:type="continuationSeparator" w:id="0">
    <w:p w14:paraId="25802CC6" w14:textId="77777777" w:rsidR="002875E9" w:rsidRDefault="002875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726" w14:textId="77777777" w:rsidR="00C813D2" w:rsidRDefault="00C813D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D23ABC"/>
    <w:multiLevelType w:val="multilevel"/>
    <w:tmpl w:val="00A634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7179EE"/>
    <w:multiLevelType w:val="multilevel"/>
    <w:tmpl w:val="E3D2B4B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03431259">
    <w:abstractNumId w:val="1"/>
  </w:num>
  <w:num w:numId="2" w16cid:durableId="13430488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3D2"/>
    <w:rsid w:val="0000041B"/>
    <w:rsid w:val="00011124"/>
    <w:rsid w:val="00015D65"/>
    <w:rsid w:val="00022408"/>
    <w:rsid w:val="0002256A"/>
    <w:rsid w:val="000455C2"/>
    <w:rsid w:val="0005030B"/>
    <w:rsid w:val="000516CA"/>
    <w:rsid w:val="000529EB"/>
    <w:rsid w:val="00062B36"/>
    <w:rsid w:val="00062FBA"/>
    <w:rsid w:val="00066023"/>
    <w:rsid w:val="00086BDF"/>
    <w:rsid w:val="0009084A"/>
    <w:rsid w:val="00094665"/>
    <w:rsid w:val="00094B9B"/>
    <w:rsid w:val="000A6538"/>
    <w:rsid w:val="000C1FA3"/>
    <w:rsid w:val="000C7322"/>
    <w:rsid w:val="000D7136"/>
    <w:rsid w:val="000D7683"/>
    <w:rsid w:val="000F31C1"/>
    <w:rsid w:val="000F3865"/>
    <w:rsid w:val="001109C5"/>
    <w:rsid w:val="00113FF1"/>
    <w:rsid w:val="00115DD7"/>
    <w:rsid w:val="001278CE"/>
    <w:rsid w:val="00127C72"/>
    <w:rsid w:val="001305D4"/>
    <w:rsid w:val="00146510"/>
    <w:rsid w:val="001550AB"/>
    <w:rsid w:val="00184BE7"/>
    <w:rsid w:val="0018568E"/>
    <w:rsid w:val="00187E69"/>
    <w:rsid w:val="00195F4E"/>
    <w:rsid w:val="001A6A4D"/>
    <w:rsid w:val="001A7C33"/>
    <w:rsid w:val="001C512D"/>
    <w:rsid w:val="001C662A"/>
    <w:rsid w:val="001D1D33"/>
    <w:rsid w:val="001D292A"/>
    <w:rsid w:val="001E0602"/>
    <w:rsid w:val="001E2D42"/>
    <w:rsid w:val="001E4CC9"/>
    <w:rsid w:val="001E76C8"/>
    <w:rsid w:val="001F5B9C"/>
    <w:rsid w:val="002047E3"/>
    <w:rsid w:val="00212588"/>
    <w:rsid w:val="0022596B"/>
    <w:rsid w:val="00243128"/>
    <w:rsid w:val="00243AFF"/>
    <w:rsid w:val="00250EF8"/>
    <w:rsid w:val="002547BA"/>
    <w:rsid w:val="00254922"/>
    <w:rsid w:val="00255B9E"/>
    <w:rsid w:val="00265E61"/>
    <w:rsid w:val="002664E0"/>
    <w:rsid w:val="00273E0C"/>
    <w:rsid w:val="0027671E"/>
    <w:rsid w:val="0028139F"/>
    <w:rsid w:val="00282400"/>
    <w:rsid w:val="002875E9"/>
    <w:rsid w:val="0029314A"/>
    <w:rsid w:val="002A0A00"/>
    <w:rsid w:val="002B3ECC"/>
    <w:rsid w:val="002B6B92"/>
    <w:rsid w:val="002E00F6"/>
    <w:rsid w:val="002E4D5F"/>
    <w:rsid w:val="002E72AA"/>
    <w:rsid w:val="002F4479"/>
    <w:rsid w:val="002F6A3A"/>
    <w:rsid w:val="00307A21"/>
    <w:rsid w:val="00340798"/>
    <w:rsid w:val="00364E49"/>
    <w:rsid w:val="00375AD3"/>
    <w:rsid w:val="00393068"/>
    <w:rsid w:val="00397734"/>
    <w:rsid w:val="003A2C3E"/>
    <w:rsid w:val="003B446B"/>
    <w:rsid w:val="003C1D26"/>
    <w:rsid w:val="003D4006"/>
    <w:rsid w:val="003D6E3D"/>
    <w:rsid w:val="003E19F9"/>
    <w:rsid w:val="00400664"/>
    <w:rsid w:val="00405E39"/>
    <w:rsid w:val="00412D81"/>
    <w:rsid w:val="00421F28"/>
    <w:rsid w:val="004223C8"/>
    <w:rsid w:val="00425895"/>
    <w:rsid w:val="00435AB4"/>
    <w:rsid w:val="004512F8"/>
    <w:rsid w:val="00456B63"/>
    <w:rsid w:val="00471F4A"/>
    <w:rsid w:val="00473A90"/>
    <w:rsid w:val="00475AAA"/>
    <w:rsid w:val="0048269E"/>
    <w:rsid w:val="00485430"/>
    <w:rsid w:val="004A7320"/>
    <w:rsid w:val="004B1847"/>
    <w:rsid w:val="004B1DEB"/>
    <w:rsid w:val="004C00C4"/>
    <w:rsid w:val="004D5007"/>
    <w:rsid w:val="004E3629"/>
    <w:rsid w:val="0050037E"/>
    <w:rsid w:val="00511B48"/>
    <w:rsid w:val="00513219"/>
    <w:rsid w:val="00523AED"/>
    <w:rsid w:val="00525851"/>
    <w:rsid w:val="00554474"/>
    <w:rsid w:val="00561D40"/>
    <w:rsid w:val="00573756"/>
    <w:rsid w:val="00580442"/>
    <w:rsid w:val="00585899"/>
    <w:rsid w:val="0058589F"/>
    <w:rsid w:val="005B1CE4"/>
    <w:rsid w:val="005B34C2"/>
    <w:rsid w:val="005C5EF6"/>
    <w:rsid w:val="005C5FA7"/>
    <w:rsid w:val="005C74E7"/>
    <w:rsid w:val="005D4AB7"/>
    <w:rsid w:val="005D5F89"/>
    <w:rsid w:val="005E4ACA"/>
    <w:rsid w:val="005E5C38"/>
    <w:rsid w:val="005F111B"/>
    <w:rsid w:val="005F211C"/>
    <w:rsid w:val="005F4188"/>
    <w:rsid w:val="006134FB"/>
    <w:rsid w:val="00617719"/>
    <w:rsid w:val="00627F7F"/>
    <w:rsid w:val="0065051C"/>
    <w:rsid w:val="00655E87"/>
    <w:rsid w:val="00686371"/>
    <w:rsid w:val="0069250F"/>
    <w:rsid w:val="006A6243"/>
    <w:rsid w:val="006E1631"/>
    <w:rsid w:val="006E3542"/>
    <w:rsid w:val="006E7A30"/>
    <w:rsid w:val="00706312"/>
    <w:rsid w:val="00707AF9"/>
    <w:rsid w:val="0071500D"/>
    <w:rsid w:val="00715763"/>
    <w:rsid w:val="007211EE"/>
    <w:rsid w:val="00732632"/>
    <w:rsid w:val="007424D0"/>
    <w:rsid w:val="00745A8D"/>
    <w:rsid w:val="00764A41"/>
    <w:rsid w:val="00782CDF"/>
    <w:rsid w:val="00787623"/>
    <w:rsid w:val="00793CF2"/>
    <w:rsid w:val="007963F1"/>
    <w:rsid w:val="007A2840"/>
    <w:rsid w:val="007C454E"/>
    <w:rsid w:val="007C6189"/>
    <w:rsid w:val="007D0101"/>
    <w:rsid w:val="007D22B6"/>
    <w:rsid w:val="007D4A2C"/>
    <w:rsid w:val="007E0558"/>
    <w:rsid w:val="007E1DC9"/>
    <w:rsid w:val="007F4656"/>
    <w:rsid w:val="0080230B"/>
    <w:rsid w:val="008177B6"/>
    <w:rsid w:val="008237C2"/>
    <w:rsid w:val="0082565A"/>
    <w:rsid w:val="00834855"/>
    <w:rsid w:val="00836D3C"/>
    <w:rsid w:val="008373C2"/>
    <w:rsid w:val="008415DD"/>
    <w:rsid w:val="008534E3"/>
    <w:rsid w:val="0087621A"/>
    <w:rsid w:val="00876942"/>
    <w:rsid w:val="00895E6A"/>
    <w:rsid w:val="00896CB3"/>
    <w:rsid w:val="008B0291"/>
    <w:rsid w:val="008B1C80"/>
    <w:rsid w:val="008B2B0B"/>
    <w:rsid w:val="008B6470"/>
    <w:rsid w:val="008D4EAD"/>
    <w:rsid w:val="00917C3B"/>
    <w:rsid w:val="00920816"/>
    <w:rsid w:val="0093118F"/>
    <w:rsid w:val="00934E1C"/>
    <w:rsid w:val="00940C0C"/>
    <w:rsid w:val="00944B5A"/>
    <w:rsid w:val="009524B7"/>
    <w:rsid w:val="009555F4"/>
    <w:rsid w:val="009567A2"/>
    <w:rsid w:val="009614B2"/>
    <w:rsid w:val="00966C0E"/>
    <w:rsid w:val="009760A3"/>
    <w:rsid w:val="0098096B"/>
    <w:rsid w:val="009919D7"/>
    <w:rsid w:val="0099784C"/>
    <w:rsid w:val="009A24DB"/>
    <w:rsid w:val="009A61DF"/>
    <w:rsid w:val="009B0698"/>
    <w:rsid w:val="009B3E93"/>
    <w:rsid w:val="009B5B21"/>
    <w:rsid w:val="009C02DB"/>
    <w:rsid w:val="009C4995"/>
    <w:rsid w:val="009D1978"/>
    <w:rsid w:val="009D1E50"/>
    <w:rsid w:val="009D3D0A"/>
    <w:rsid w:val="009D629B"/>
    <w:rsid w:val="009E0FB7"/>
    <w:rsid w:val="009E250A"/>
    <w:rsid w:val="00A01118"/>
    <w:rsid w:val="00A02298"/>
    <w:rsid w:val="00A26DF9"/>
    <w:rsid w:val="00A64D65"/>
    <w:rsid w:val="00A8007F"/>
    <w:rsid w:val="00A8119D"/>
    <w:rsid w:val="00A85A4D"/>
    <w:rsid w:val="00AA3D3B"/>
    <w:rsid w:val="00AB4556"/>
    <w:rsid w:val="00AC6371"/>
    <w:rsid w:val="00AC688A"/>
    <w:rsid w:val="00AC760B"/>
    <w:rsid w:val="00AC7FF5"/>
    <w:rsid w:val="00AD4646"/>
    <w:rsid w:val="00AD4D0D"/>
    <w:rsid w:val="00AE107D"/>
    <w:rsid w:val="00AF3149"/>
    <w:rsid w:val="00AF5096"/>
    <w:rsid w:val="00AF64F9"/>
    <w:rsid w:val="00AF772F"/>
    <w:rsid w:val="00B021EF"/>
    <w:rsid w:val="00B07ED3"/>
    <w:rsid w:val="00B2630C"/>
    <w:rsid w:val="00B3218A"/>
    <w:rsid w:val="00B330C8"/>
    <w:rsid w:val="00B36E1B"/>
    <w:rsid w:val="00B3758F"/>
    <w:rsid w:val="00B42801"/>
    <w:rsid w:val="00B437A2"/>
    <w:rsid w:val="00B44257"/>
    <w:rsid w:val="00B52B79"/>
    <w:rsid w:val="00B561C7"/>
    <w:rsid w:val="00B5763C"/>
    <w:rsid w:val="00B57DED"/>
    <w:rsid w:val="00B64E9C"/>
    <w:rsid w:val="00B6555A"/>
    <w:rsid w:val="00B73867"/>
    <w:rsid w:val="00B77B08"/>
    <w:rsid w:val="00B82261"/>
    <w:rsid w:val="00B82B0A"/>
    <w:rsid w:val="00B85704"/>
    <w:rsid w:val="00B93C1F"/>
    <w:rsid w:val="00B951C4"/>
    <w:rsid w:val="00BA1071"/>
    <w:rsid w:val="00BA17DA"/>
    <w:rsid w:val="00BA291D"/>
    <w:rsid w:val="00BA53EF"/>
    <w:rsid w:val="00BA79E9"/>
    <w:rsid w:val="00BC486D"/>
    <w:rsid w:val="00BD66FF"/>
    <w:rsid w:val="00BF38B2"/>
    <w:rsid w:val="00C0139B"/>
    <w:rsid w:val="00C1150C"/>
    <w:rsid w:val="00C11E6A"/>
    <w:rsid w:val="00C35577"/>
    <w:rsid w:val="00C431C1"/>
    <w:rsid w:val="00C44088"/>
    <w:rsid w:val="00C477C6"/>
    <w:rsid w:val="00C613B3"/>
    <w:rsid w:val="00C65883"/>
    <w:rsid w:val="00C75078"/>
    <w:rsid w:val="00C813D2"/>
    <w:rsid w:val="00C90D43"/>
    <w:rsid w:val="00CB24FB"/>
    <w:rsid w:val="00CB7C39"/>
    <w:rsid w:val="00CC02FA"/>
    <w:rsid w:val="00CC398D"/>
    <w:rsid w:val="00CC3C32"/>
    <w:rsid w:val="00CD06F6"/>
    <w:rsid w:val="00CE461E"/>
    <w:rsid w:val="00CE49A2"/>
    <w:rsid w:val="00D063BC"/>
    <w:rsid w:val="00D0792C"/>
    <w:rsid w:val="00D109C2"/>
    <w:rsid w:val="00D21329"/>
    <w:rsid w:val="00D23FD2"/>
    <w:rsid w:val="00D251A4"/>
    <w:rsid w:val="00D30DB8"/>
    <w:rsid w:val="00D314EC"/>
    <w:rsid w:val="00D81CB4"/>
    <w:rsid w:val="00D85465"/>
    <w:rsid w:val="00DB4453"/>
    <w:rsid w:val="00DC0660"/>
    <w:rsid w:val="00DD4B6D"/>
    <w:rsid w:val="00DE7182"/>
    <w:rsid w:val="00E103FC"/>
    <w:rsid w:val="00E145B1"/>
    <w:rsid w:val="00E2526C"/>
    <w:rsid w:val="00E43806"/>
    <w:rsid w:val="00E45499"/>
    <w:rsid w:val="00E474FB"/>
    <w:rsid w:val="00E638BE"/>
    <w:rsid w:val="00E73CD5"/>
    <w:rsid w:val="00E858ED"/>
    <w:rsid w:val="00E90576"/>
    <w:rsid w:val="00E96764"/>
    <w:rsid w:val="00EA089E"/>
    <w:rsid w:val="00EC6AD0"/>
    <w:rsid w:val="00ED23A9"/>
    <w:rsid w:val="00ED4B9B"/>
    <w:rsid w:val="00EE69F0"/>
    <w:rsid w:val="00F35526"/>
    <w:rsid w:val="00F36114"/>
    <w:rsid w:val="00F40D75"/>
    <w:rsid w:val="00F600EF"/>
    <w:rsid w:val="00F76550"/>
    <w:rsid w:val="00F85CFB"/>
    <w:rsid w:val="00FA7A3D"/>
    <w:rsid w:val="00FB6F89"/>
    <w:rsid w:val="00FC2117"/>
    <w:rsid w:val="00FC42C3"/>
    <w:rsid w:val="00FC6102"/>
    <w:rsid w:val="00FC7CE3"/>
    <w:rsid w:val="00FC7ED9"/>
    <w:rsid w:val="00FD0827"/>
    <w:rsid w:val="00FD5CE5"/>
    <w:rsid w:val="00FE3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BDE808"/>
  <w15:docId w15:val="{6426DE99-3B41-4FEF-9932-D7FC70B71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2"/>
        <w:szCs w:val="22"/>
        <w:lang w:val="e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31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31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31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8131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31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31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313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313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31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31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31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3135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8131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sid w:val="008131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31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31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31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31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31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31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3135"/>
    <w:rPr>
      <w:b/>
      <w:bCs/>
      <w:smallCaps/>
      <w:color w:val="0F4761" w:themeColor="accent1" w:themeShade="BF"/>
      <w:spacing w:val="5"/>
    </w:rPr>
  </w:style>
  <w:style w:type="character" w:styleId="Emphasis">
    <w:name w:val="Emphasis"/>
    <w:basedOn w:val="DefaultParagraphFont"/>
    <w:uiPriority w:val="20"/>
    <w:qFormat/>
    <w:rsid w:val="00813135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CD4D7B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BE79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E796C"/>
    <w:rPr>
      <w:color w:val="467886" w:themeColor="hyperlink"/>
      <w:u w:val="single"/>
    </w:rPr>
  </w:style>
  <w:style w:type="paragraph" w:styleId="NoSpacing">
    <w:name w:val="No Spacing"/>
    <w:uiPriority w:val="1"/>
    <w:qFormat/>
    <w:rsid w:val="0013133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002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0234"/>
  </w:style>
  <w:style w:type="paragraph" w:styleId="Footer">
    <w:name w:val="footer"/>
    <w:basedOn w:val="Normal"/>
    <w:link w:val="FooterChar"/>
    <w:uiPriority w:val="99"/>
    <w:unhideWhenUsed/>
    <w:rsid w:val="003002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0234"/>
  </w:style>
  <w:style w:type="character" w:styleId="UnresolvedMention">
    <w:name w:val="Unresolved Mention"/>
    <w:basedOn w:val="DefaultParagraphFont"/>
    <w:uiPriority w:val="99"/>
    <w:semiHidden/>
    <w:unhideWhenUsed/>
    <w:rsid w:val="00D2483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52AD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52AD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52AD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2AD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2ADF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2B2813"/>
    <w:pPr>
      <w:spacing w:after="0" w:line="240" w:lineRule="auto"/>
    </w:pPr>
  </w:style>
  <w:style w:type="paragraph" w:styleId="Subtitle">
    <w:name w:val="Subtitle"/>
    <w:basedOn w:val="Normal"/>
    <w:next w:val="Normal"/>
    <w:link w:val="SubtitleChar"/>
    <w:uiPriority w:val="11"/>
    <w:qFormat/>
    <w:rPr>
      <w:color w:val="595959"/>
      <w:sz w:val="28"/>
      <w:szCs w:val="28"/>
    </w:rPr>
  </w:style>
  <w:style w:type="table" w:customStyle="1" w:styleId="a"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D:\second%20save\Comobidities\comobidities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'common condition'!$B$1</c:f>
              <c:strCache>
                <c:ptCount val="1"/>
                <c:pt idx="0">
                  <c:v>Percent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'common condition'!$A$2:$A$30</c:f>
              <c:strCache>
                <c:ptCount val="29"/>
                <c:pt idx="1">
                  <c:v>Cerebral Palsy</c:v>
                </c:pt>
                <c:pt idx="2">
                  <c:v>Congenital Malformations</c:v>
                </c:pt>
                <c:pt idx="3">
                  <c:v>Hydrocephalus</c:v>
                </c:pt>
                <c:pt idx="4">
                  <c:v>Sleep Apnea</c:v>
                </c:pt>
                <c:pt idx="5">
                  <c:v>Chronic Respiratory Conditions</c:v>
                </c:pt>
                <c:pt idx="6">
                  <c:v>Musculoskeletal Conditions</c:v>
                </c:pt>
                <c:pt idx="7">
                  <c:v>Eye Disorders</c:v>
                </c:pt>
                <c:pt idx="8">
                  <c:v>Asthma</c:v>
                </c:pt>
                <c:pt idx="9">
                  <c:v>Encephalopathy</c:v>
                </c:pt>
                <c:pt idx="10">
                  <c:v>Bacterial or Viral Infections</c:v>
                </c:pt>
                <c:pt idx="11">
                  <c:v>Hearing Loss</c:v>
                </c:pt>
                <c:pt idx="12">
                  <c:v>Otitis Media</c:v>
                </c:pt>
                <c:pt idx="13">
                  <c:v>Hypothyroidism</c:v>
                </c:pt>
                <c:pt idx="14">
                  <c:v>Paralysis</c:v>
                </c:pt>
                <c:pt idx="15">
                  <c:v> Congenital Abnormalities</c:v>
                </c:pt>
                <c:pt idx="16">
                  <c:v>Illness</c:v>
                </c:pt>
                <c:pt idx="17">
                  <c:v>Blood Disease</c:v>
                </c:pt>
                <c:pt idx="18">
                  <c:v>Joint Disorders</c:v>
                </c:pt>
                <c:pt idx="19">
                  <c:v>Dysphagia</c:v>
                </c:pt>
                <c:pt idx="20">
                  <c:v>Neoplasms</c:v>
                </c:pt>
                <c:pt idx="21">
                  <c:v>Brain damage</c:v>
                </c:pt>
                <c:pt idx="22">
                  <c:v>Diabetes Type 1</c:v>
                </c:pt>
                <c:pt idx="23">
                  <c:v>Malnutrition</c:v>
                </c:pt>
                <c:pt idx="24">
                  <c:v>Neonatal Conditions</c:v>
                </c:pt>
                <c:pt idx="25">
                  <c:v>Metabolism Disorder</c:v>
                </c:pt>
                <c:pt idx="26">
                  <c:v>Cardiovascular Conditions</c:v>
                </c:pt>
                <c:pt idx="27">
                  <c:v>Intracranial Injury</c:v>
                </c:pt>
                <c:pt idx="28">
                  <c:v>Muscular Dystrophy</c:v>
                </c:pt>
              </c:strCache>
            </c:strRef>
          </c:cat>
          <c:val>
            <c:numRef>
              <c:f>'common condition'!$B$2:$B$30</c:f>
              <c:numCache>
                <c:formatCode>0.0</c:formatCode>
                <c:ptCount val="29"/>
                <c:pt idx="1">
                  <c:v>15.87</c:v>
                </c:pt>
                <c:pt idx="2">
                  <c:v>11.9</c:v>
                </c:pt>
                <c:pt idx="3">
                  <c:v>5.95</c:v>
                </c:pt>
                <c:pt idx="4">
                  <c:v>5.25</c:v>
                </c:pt>
                <c:pt idx="5">
                  <c:v>5.17</c:v>
                </c:pt>
                <c:pt idx="6">
                  <c:v>3.98</c:v>
                </c:pt>
                <c:pt idx="7">
                  <c:v>3.86</c:v>
                </c:pt>
                <c:pt idx="8">
                  <c:v>2.84</c:v>
                </c:pt>
                <c:pt idx="9">
                  <c:v>2.44</c:v>
                </c:pt>
                <c:pt idx="10">
                  <c:v>2.14</c:v>
                </c:pt>
                <c:pt idx="11">
                  <c:v>1.93</c:v>
                </c:pt>
                <c:pt idx="12">
                  <c:v>1.93</c:v>
                </c:pt>
                <c:pt idx="13">
                  <c:v>1.8</c:v>
                </c:pt>
                <c:pt idx="14">
                  <c:v>1.76</c:v>
                </c:pt>
                <c:pt idx="15">
                  <c:v>1.63</c:v>
                </c:pt>
                <c:pt idx="16">
                  <c:v>1.59</c:v>
                </c:pt>
                <c:pt idx="17">
                  <c:v>1.55</c:v>
                </c:pt>
                <c:pt idx="18">
                  <c:v>1.44</c:v>
                </c:pt>
                <c:pt idx="19">
                  <c:v>1.4</c:v>
                </c:pt>
                <c:pt idx="20">
                  <c:v>1.33</c:v>
                </c:pt>
                <c:pt idx="21">
                  <c:v>1.31</c:v>
                </c:pt>
                <c:pt idx="22">
                  <c:v>1.31</c:v>
                </c:pt>
                <c:pt idx="23">
                  <c:v>0.87</c:v>
                </c:pt>
                <c:pt idx="24">
                  <c:v>0.87</c:v>
                </c:pt>
                <c:pt idx="25">
                  <c:v>0.85</c:v>
                </c:pt>
                <c:pt idx="26">
                  <c:v>0.76</c:v>
                </c:pt>
                <c:pt idx="27">
                  <c:v>0.74</c:v>
                </c:pt>
                <c:pt idx="28">
                  <c:v>0.7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6F4-4464-8B3D-AE295A8A9AD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15"/>
        <c:overlap val="-20"/>
        <c:axId val="544577984"/>
        <c:axId val="544586144"/>
      </c:barChart>
      <c:catAx>
        <c:axId val="54457798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544586144"/>
        <c:crosses val="autoZero"/>
        <c:auto val="1"/>
        <c:lblAlgn val="l"/>
        <c:lblOffset val="100"/>
        <c:noMultiLvlLbl val="0"/>
      </c:catAx>
      <c:valAx>
        <c:axId val="544586144"/>
        <c:scaling>
          <c:orientation val="minMax"/>
          <c:max val="20"/>
        </c:scaling>
        <c:delete val="0"/>
        <c:axPos val="b"/>
        <c:numFmt formatCode="0.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4457798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4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ize="5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75aWOvZ0p98zi+RkMxcED4kn9uA==">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842</Words>
  <Characters>4803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Alrubaie, Nora</dc:creator>
  <cp:lastModifiedBy>Alrubaie, Nora</cp:lastModifiedBy>
  <cp:revision>36</cp:revision>
  <dcterms:created xsi:type="dcterms:W3CDTF">2026-02-03T16:40:00Z</dcterms:created>
  <dcterms:modified xsi:type="dcterms:W3CDTF">2026-07-23T00:15:00Z</dcterms:modified>
</cp:coreProperties>
</file>