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78E43ACB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  <w:t xml:space="preserve">The following supplementary tables provide additional analyses that support the main findings presented in the results section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0F1F94EC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40" w:before="0"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Table S1: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Immunization Status by Child's Age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tbl>
      <w:tblPr>
        <w:tblStyle w:val="1_3"/>
        <w:tblW w:w="9567" w:type="dxa"/>
        <w:tblBorders/>
        <w:tblLook w:val="04A0" w:firstRow="1" w:lastRow="0" w:firstColumn="1" w:lastColumn="0" w:noHBand="0" w:noVBand="1"/>
      </w:tblPr>
      <w:tblGrid>
        <w:gridCol w:w="1720"/>
        <w:gridCol w:w="2105"/>
        <w:gridCol w:w="2424"/>
        <w:gridCol w:w="1998"/>
        <w:gridCol w:w="1320"/>
      </w:tblGrid>
      <w:tr>
        <w:trPr>
          <w:trHeight w:val="1368"/>
        </w:trPr>
        <w:tc>
          <w:tcPr>
            <w:tcBorders/>
            <w:tcW w:w="1720" w:type="dxa"/>
          </w:tcPr>
          <w:p w14:paraId="21309BA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Child's Age Group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05" w:type="dxa"/>
          </w:tcPr>
          <w:p w14:paraId="3C55BAB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Fully Immunized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424" w:type="dxa"/>
          </w:tcPr>
          <w:p w14:paraId="693ADCC4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Partially Immunized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8" w:type="dxa"/>
          </w:tcPr>
          <w:p w14:paraId="5CD8DF2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Not Immunized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320" w:type="dxa"/>
          </w:tcPr>
          <w:p w14:paraId="03899D39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Total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21"/>
        </w:trPr>
        <w:tc>
          <w:tcPr>
            <w:shd w:val="clear" w:color="ffffff" w:fill="ffffff"/>
            <w:tcBorders/>
            <w:tcW w:w="1720" w:type="dxa"/>
          </w:tcPr>
          <w:p w14:paraId="0ED2132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0–5 months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05" w:type="dxa"/>
          </w:tcPr>
          <w:p w14:paraId="11BC446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45 (52.9%)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424" w:type="dxa"/>
          </w:tcPr>
          <w:p w14:paraId="250396D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32 (37.6%)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998" w:type="dxa"/>
          </w:tcPr>
          <w:p w14:paraId="5CA9982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8 (9.4%)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320" w:type="dxa"/>
          </w:tcPr>
          <w:p w14:paraId="0420E55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84"/>
        </w:trPr>
        <w:tc>
          <w:tcPr>
            <w:tcBorders/>
            <w:tcW w:w="1720" w:type="dxa"/>
          </w:tcPr>
          <w:p w14:paraId="0EF6254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6–11 months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05" w:type="dxa"/>
          </w:tcPr>
          <w:p w14:paraId="517F212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65 (63.1%)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424" w:type="dxa"/>
          </w:tcPr>
          <w:p w14:paraId="03B04E7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30 (29.1%)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8" w:type="dxa"/>
          </w:tcPr>
          <w:p w14:paraId="081AB30D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8 (7.8%)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320" w:type="dxa"/>
          </w:tcPr>
          <w:p w14:paraId="758AB10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84"/>
        </w:trPr>
        <w:tc>
          <w:tcPr>
            <w:shd w:val="clear" w:color="ffffff" w:fill="ffffff"/>
            <w:tcBorders/>
            <w:tcW w:w="1720" w:type="dxa"/>
          </w:tcPr>
          <w:p w14:paraId="4E379BE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12–17 months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05" w:type="dxa"/>
          </w:tcPr>
          <w:p w14:paraId="38BC32F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80 (70.8%)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424" w:type="dxa"/>
          </w:tcPr>
          <w:p w14:paraId="0BF0B9A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25 (22.1%)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998" w:type="dxa"/>
          </w:tcPr>
          <w:p w14:paraId="661F1640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8 (7.1%)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320" w:type="dxa"/>
          </w:tcPr>
          <w:p w14:paraId="27779564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113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84"/>
        </w:trPr>
        <w:tc>
          <w:tcPr>
            <w:tcBorders/>
            <w:tcW w:w="1720" w:type="dxa"/>
          </w:tcPr>
          <w:p w14:paraId="385F3A3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18–24 months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05" w:type="dxa"/>
          </w:tcPr>
          <w:p w14:paraId="48297AD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60 (77.9%)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424" w:type="dxa"/>
          </w:tcPr>
          <w:p w14:paraId="064A850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6 (7.8%)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998" w:type="dxa"/>
          </w:tcPr>
          <w:p w14:paraId="10F16C7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11 (14.3%)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320" w:type="dxa"/>
          </w:tcPr>
          <w:p w14:paraId="4F3B65C0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</w:tbl>
    <w:p w14:paraId="0BCE1AF6"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40" w:before="240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Note: Children in the 18–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24-month</w:t>
      </w:r>
      <w:r>
        <w:rPr>
          <w:rFonts w:ascii="Times New Roman" w:hAnsi="Times New Roman" w:eastAsia="Times New Roman" w:cs="Times New Roman"/>
          <w:i/>
          <w:color w:val="000000" w:themeColor="text1"/>
          <w:sz w:val="24"/>
          <w:szCs w:val="24"/>
        </w:rPr>
        <w:t xml:space="preserve"> group have completed or should have completed all scheduled vaccines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3399DCEE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C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hildren in the 0–5 months age group have not yet reached the age for several scheduled vaccines (e.g., Penta 3 at 14 weeks, Measles-Rubella at 9 months, and Measles-Rubella 2 at 18 months). Therefore, 'fully immunized' in this group should be interpreted a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'fully immunized for age' rather than 'completed the entire immunization schedule.' The lower coverage in this group reflects both age-ineligibility for certain vaccines and actual missed opportunities. The high not-immunized rate among 18–24 month childr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en (14.3%) is particularly concerning, as these children have had sufficient time to complete the entire schedule and represent persistent dropout.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 w14:paraId="637102B6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r>
    </w:p>
    <w:p w14:paraId="7756424F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  <w:lang w:val="en" w:bidi="en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r>
    </w:p>
    <w:p w14:paraId="5E101B94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40" w:before="480" w:line="450" w:lineRule="atLeast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Table S2: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Reasons for Missed Appointments (Multivariable Response)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tbl>
      <w:tblPr>
        <w:tblStyle w:val="1_3"/>
        <w:tblW w:w="0" w:type="auto"/>
        <w:tblBorders/>
        <w:tblLook w:val="04A0" w:firstRow="1" w:lastRow="0" w:firstColumn="1" w:lastColumn="0" w:noHBand="0" w:noVBand="1"/>
      </w:tblPr>
      <w:tblGrid>
        <w:gridCol w:w="4593"/>
        <w:gridCol w:w="2154"/>
        <w:gridCol w:w="2390"/>
      </w:tblGrid>
      <w:tr>
        <w:trPr/>
        <w:tc>
          <w:tcPr>
            <w:tcBorders/>
            <w:tcW w:w="4593" w:type="dxa"/>
          </w:tcPr>
          <w:p w14:paraId="3E758B53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Reason for Missed Appointment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54" w:type="dxa"/>
          </w:tcPr>
          <w:p w14:paraId="43759B64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Frequency (n)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390" w:type="dxa"/>
          </w:tcPr>
          <w:p w14:paraId="5D5B5F81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Percentage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4593" w:type="dxa"/>
          </w:tcPr>
          <w:p w14:paraId="6374D408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Child was sick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54" w:type="dxa"/>
          </w:tcPr>
          <w:p w14:paraId="7267F3CA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390" w:type="dxa"/>
          </w:tcPr>
          <w:p w14:paraId="7EB75458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35.0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93" w:type="dxa"/>
          </w:tcPr>
          <w:p w14:paraId="7E463FCC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Caregiver forgot appointment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54" w:type="dxa"/>
          </w:tcPr>
          <w:p w14:paraId="7C37DFF2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390" w:type="dxa"/>
          </w:tcPr>
          <w:p w14:paraId="751B690A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23.3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4593" w:type="dxa"/>
          </w:tcPr>
          <w:p w14:paraId="65928CBB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Work commitments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54" w:type="dxa"/>
          </w:tcPr>
          <w:p w14:paraId="61FAE71F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390" w:type="dxa"/>
          </w:tcPr>
          <w:p w14:paraId="303BEE1D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15.0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93" w:type="dxa"/>
          </w:tcPr>
          <w:p w14:paraId="78021D83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Travel/moved away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54" w:type="dxa"/>
          </w:tcPr>
          <w:p w14:paraId="67E1975C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390" w:type="dxa"/>
          </w:tcPr>
          <w:p w14:paraId="0CB714E2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10.0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4593" w:type="dxa"/>
          </w:tcPr>
          <w:p w14:paraId="3B6578D3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Vaccine not available at visit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54" w:type="dxa"/>
          </w:tcPr>
          <w:p w14:paraId="00069E49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390" w:type="dxa"/>
          </w:tcPr>
          <w:p w14:paraId="7DD181D9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6.7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93" w:type="dxa"/>
          </w:tcPr>
          <w:p w14:paraId="4FD46C32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Long waiting time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54" w:type="dxa"/>
          </w:tcPr>
          <w:p w14:paraId="3898CFE0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390" w:type="dxa"/>
          </w:tcPr>
          <w:p w14:paraId="0B05063F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5.0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4593" w:type="dxa"/>
          </w:tcPr>
          <w:p w14:paraId="2A7E40CC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Fear of side effects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54" w:type="dxa"/>
          </w:tcPr>
          <w:p w14:paraId="7DD97CFD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390" w:type="dxa"/>
          </w:tcPr>
          <w:p w14:paraId="7E9CDF09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593" w:type="dxa"/>
          </w:tcPr>
          <w:p w14:paraId="523B1FD8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Other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54" w:type="dxa"/>
          </w:tcPr>
          <w:p w14:paraId="285D4BB3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390" w:type="dxa"/>
          </w:tcPr>
          <w:p w14:paraId="4DACA110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1.7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</w:tbl>
    <w:p w14:paraId="377EBB2E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before="0" w:line="450" w:lineRule="atLeast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Table S3: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Community Influence on Immunization Decision-Making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tbl>
      <w:tblPr>
        <w:tblStyle w:val="1_2"/>
        <w:tblW w:w="9541" w:type="dxa"/>
        <w:tblBorders/>
        <w:tblLook w:val="04A0" w:firstRow="1" w:lastRow="0" w:firstColumn="1" w:lastColumn="0" w:noHBand="0" w:noVBand="1"/>
      </w:tblPr>
      <w:tblGrid>
        <w:gridCol w:w="5633"/>
        <w:gridCol w:w="1849"/>
        <w:gridCol w:w="2059"/>
      </w:tblGrid>
      <w:tr>
        <w:trPr>
          <w:trHeight w:val="517"/>
        </w:trPr>
        <w:tc>
          <w:tcPr>
            <w:tcBorders/>
            <w:tcW w:w="5633" w:type="dxa"/>
          </w:tcPr>
          <w:p w14:paraId="78C044BA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Community Influence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849" w:type="dxa"/>
          </w:tcPr>
          <w:p w14:paraId="1039EDE3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Frequency (n)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59" w:type="dxa"/>
          </w:tcPr>
          <w:p w14:paraId="5E1E9EE6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Percentage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17"/>
        </w:trPr>
        <w:tc>
          <w:tcPr>
            <w:shd w:val="clear" w:color="ffffff" w:fill="ffffff"/>
            <w:tcBorders/>
            <w:tcW w:w="5633" w:type="dxa"/>
          </w:tcPr>
          <w:p w14:paraId="02BB8FD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Husband/Partner supports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849" w:type="dxa"/>
          </w:tcPr>
          <w:p w14:paraId="577CE800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59" w:type="dxa"/>
          </w:tcPr>
          <w:p w14:paraId="0DD3266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79.5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46"/>
        </w:trPr>
        <w:tc>
          <w:tcPr>
            <w:tcBorders/>
            <w:tcW w:w="5633" w:type="dxa"/>
          </w:tcPr>
          <w:p w14:paraId="1ED9841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Extended family supports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849" w:type="dxa"/>
          </w:tcPr>
          <w:p w14:paraId="5478409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255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59" w:type="dxa"/>
          </w:tcPr>
          <w:p w14:paraId="441EC164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69.9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17"/>
        </w:trPr>
        <w:tc>
          <w:tcPr>
            <w:shd w:val="clear" w:color="ffffff" w:fill="ffffff"/>
            <w:tcBorders/>
            <w:tcW w:w="5633" w:type="dxa"/>
          </w:tcPr>
          <w:p w14:paraId="1907E3D4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Religious leader supports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849" w:type="dxa"/>
          </w:tcPr>
          <w:p w14:paraId="50BAEC6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59" w:type="dxa"/>
          </w:tcPr>
          <w:p w14:paraId="3621E25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54.8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17"/>
        </w:trPr>
        <w:tc>
          <w:tcPr>
            <w:tcBorders/>
            <w:tcW w:w="5633" w:type="dxa"/>
          </w:tcPr>
          <w:p w14:paraId="5725593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Community health worker supports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849" w:type="dxa"/>
          </w:tcPr>
          <w:p w14:paraId="76CF5C1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310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59" w:type="dxa"/>
          </w:tcPr>
          <w:p w14:paraId="3736565A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84.9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46"/>
        </w:trPr>
        <w:tc>
          <w:tcPr>
            <w:shd w:val="clear" w:color="ffffff" w:fill="ffffff"/>
            <w:tcBorders/>
            <w:tcW w:w="5633" w:type="dxa"/>
          </w:tcPr>
          <w:p w14:paraId="317DFA3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Friends/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neighbors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support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849" w:type="dxa"/>
          </w:tcPr>
          <w:p w14:paraId="706125B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230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59" w:type="dxa"/>
          </w:tcPr>
          <w:p w14:paraId="59115DAD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63.0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17"/>
        </w:trPr>
        <w:tc>
          <w:tcPr>
            <w:tcBorders/>
            <w:tcW w:w="5633" w:type="dxa"/>
          </w:tcPr>
          <w:p w14:paraId="1A878C4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Negative Community Influence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849" w:type="dxa"/>
          </w:tcPr>
          <w:p w14:paraId="2349A62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59" w:type="dxa"/>
          </w:tcPr>
          <w:p w14:paraId="3181E45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46"/>
        </w:trPr>
        <w:tc>
          <w:tcPr>
            <w:shd w:val="clear" w:color="ffffff" w:fill="ffffff"/>
            <w:tcBorders/>
            <w:tcW w:w="5633" w:type="dxa"/>
          </w:tcPr>
          <w:p w14:paraId="525B6A6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Husband/Partner discourages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849" w:type="dxa"/>
          </w:tcPr>
          <w:p w14:paraId="3C42C3C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59" w:type="dxa"/>
          </w:tcPr>
          <w:p w14:paraId="685CF42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12.3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17"/>
        </w:trPr>
        <w:tc>
          <w:tcPr>
            <w:tcBorders/>
            <w:tcW w:w="5633" w:type="dxa"/>
          </w:tcPr>
          <w:p w14:paraId="1159D06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Extended family discourages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849" w:type="dxa"/>
          </w:tcPr>
          <w:p w14:paraId="15C035B3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59" w:type="dxa"/>
          </w:tcPr>
          <w:p w14:paraId="351C405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15.1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17"/>
        </w:trPr>
        <w:tc>
          <w:tcPr>
            <w:shd w:val="clear" w:color="ffffff" w:fill="ffffff"/>
            <w:tcBorders/>
            <w:tcW w:w="5633" w:type="dxa"/>
          </w:tcPr>
          <w:p w14:paraId="429ABB7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Religious leader discourages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849" w:type="dxa"/>
          </w:tcPr>
          <w:p w14:paraId="69876FA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59" w:type="dxa"/>
          </w:tcPr>
          <w:p w14:paraId="6E0F640D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8.2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517"/>
        </w:trPr>
        <w:tc>
          <w:tcPr>
            <w:tcBorders/>
            <w:tcW w:w="5633" w:type="dxa"/>
          </w:tcPr>
          <w:p w14:paraId="4A92F8B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Friends/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neighbors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 discourage vaccination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849" w:type="dxa"/>
          </w:tcPr>
          <w:p w14:paraId="1A087B4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59" w:type="dxa"/>
          </w:tcPr>
          <w:p w14:paraId="354FDB9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13.7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</w:tbl>
    <w:p w14:paraId="49667F98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43D33B75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40" w:before="480" w:line="450" w:lineRule="atLeast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Table S4: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Knowledge of Immunization Schedule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tbl>
      <w:tblPr>
        <w:tblStyle w:val="1_2"/>
        <w:tblW w:w="0" w:type="auto"/>
        <w:tblBorders/>
        <w:tblLook w:val="04A0" w:firstRow="1" w:lastRow="0" w:firstColumn="1" w:lastColumn="0" w:noHBand="0" w:noVBand="1"/>
      </w:tblPr>
      <w:tblGrid>
        <w:gridCol w:w="4328"/>
        <w:gridCol w:w="1643"/>
        <w:gridCol w:w="3165"/>
      </w:tblGrid>
      <w:tr>
        <w:trPr/>
        <w:tc>
          <w:tcPr>
            <w:tcBorders/>
            <w:tcW w:w="4328" w:type="dxa"/>
          </w:tcPr>
          <w:p w14:paraId="22BE210E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Knowledge Item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643" w:type="dxa"/>
          </w:tcPr>
          <w:p w14:paraId="1FD10CE3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Correct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3165" w:type="dxa"/>
          </w:tcPr>
          <w:p w14:paraId="7D2626AC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Incorrect/Don't Know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4328" w:type="dxa"/>
          </w:tcPr>
          <w:p w14:paraId="1293CCAC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Knows age for completing all vaccines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643" w:type="dxa"/>
          </w:tcPr>
          <w:p w14:paraId="250C5EF6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180 (49.3%)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3165" w:type="dxa"/>
          </w:tcPr>
          <w:p w14:paraId="334468BE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185 (50.7%)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328" w:type="dxa"/>
          </w:tcPr>
          <w:p w14:paraId="6AFE6450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Knows next scheduled vaccine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643" w:type="dxa"/>
          </w:tcPr>
          <w:p w14:paraId="44DCEA37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225 (61.6%)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3165" w:type="dxa"/>
          </w:tcPr>
          <w:p w14:paraId="58BDF686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140 (38.4%)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4328" w:type="dxa"/>
          </w:tcPr>
          <w:p w14:paraId="25480C8C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Knows side effects to expect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643" w:type="dxa"/>
          </w:tcPr>
          <w:p w14:paraId="6DE2BE61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200 (54.8%)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3165" w:type="dxa"/>
          </w:tcPr>
          <w:p w14:paraId="1AA85B9B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165 (45.2%)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328" w:type="dxa"/>
          </w:tcPr>
          <w:p w14:paraId="6ABB6992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Knows how to manage side effects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643" w:type="dxa"/>
          </w:tcPr>
          <w:p w14:paraId="57098D43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155 (42.5%)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3165" w:type="dxa"/>
          </w:tcPr>
          <w:p w14:paraId="426501F4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210 (57.5%)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4328" w:type="dxa"/>
          </w:tcPr>
          <w:p w14:paraId="5078A84E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Aware of vaccines provided at birth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643" w:type="dxa"/>
          </w:tcPr>
          <w:p w14:paraId="598E55F7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280 (76.7%)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3165" w:type="dxa"/>
          </w:tcPr>
          <w:p w14:paraId="3A540F21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85 (23.3%)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4328" w:type="dxa"/>
          </w:tcPr>
          <w:p w14:paraId="3E835347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Aware of measles vaccine schedule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643" w:type="dxa"/>
          </w:tcPr>
          <w:p w14:paraId="33C84EEE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240 (65.8%)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3165" w:type="dxa"/>
          </w:tcPr>
          <w:p w14:paraId="3F9733E9">
            <w:pPr>
              <w:pBdr/>
              <w:spacing w:after="0" w:line="48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125 (34.2%)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</w:tbl>
    <w:p w14:paraId="5F6D7E30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5F8AC07E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2A1D4E55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71B66208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74BE865E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71D1D4E9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3F1DD074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04EEDE94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5CC433CE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0CEE4CA9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0F60AFBE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40" w:before="480" w:line="450" w:lineRule="atLeast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Table S5: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Bivariate Associations with Immunization Status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tbl>
      <w:tblPr>
        <w:tblStyle w:val="1_2"/>
        <w:tblW w:w="0" w:type="auto"/>
        <w:tblBorders/>
        <w:tblLook w:val="04A0" w:firstRow="1" w:lastRow="0" w:firstColumn="1" w:lastColumn="0" w:noHBand="0" w:noVBand="1"/>
      </w:tblPr>
      <w:tblGrid>
        <w:gridCol w:w="2508"/>
        <w:gridCol w:w="2109"/>
        <w:gridCol w:w="2027"/>
        <w:gridCol w:w="1272"/>
        <w:gridCol w:w="1272"/>
      </w:tblGrid>
      <w:tr>
        <w:trPr/>
        <w:tc>
          <w:tcPr>
            <w:tcBorders/>
            <w:tcW w:w="2508" w:type="dxa"/>
          </w:tcPr>
          <w:p w14:paraId="7FD86B39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Variable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30D1102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Category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271196C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Fully Immunized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5339641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χ²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74C24FA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p-value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1A5E419B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Caregiver Age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16E752EE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1A5FB229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25FD277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3494A043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7CC493D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45CF340B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&lt;20 years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641522CB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25 (62.5%)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4FDC57F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02016C2E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03D805A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21F58CF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20–29 years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5269CCED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105 (70.0%)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3D99AE5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0D2AE96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5636F9A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52239E74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30–39 years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76DD634D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85 (70.8%)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3434B63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17D732C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67A4CA3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3AC1DB8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40+ years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237B3E8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35 (63.6%)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75AB124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1.52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606B7EB9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0.677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5E4C52C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Marital Status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70E46B8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74ECB2AA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4DC6571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41CCAE3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62B7DFB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15ED887A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Married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644AFCA3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155 (70.5%)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6470B2D6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4D2F2394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3838D48A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7A74BDBA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Single/Cohabiting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642CF3A2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70 (62.5%)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1D62C44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3012D84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793FAA22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0875EFE2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Divorced/Widowed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5A38413B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25 (75.8%)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48485D1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2.84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2ADED85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0.242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23E9935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Occupation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0CA3BAD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45288083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7B771E9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482A038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710C9A84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0522042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Employed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3E519E3C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190 (66.7%)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38CE9AFB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182B48FB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03D4F519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5158AAF1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Unemployed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0F1436BC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60 (75.0%)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3A37D109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2.02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4D475676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0.155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40BBFAA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Place of Delivery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367138FC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08A61F0E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742175DD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151689A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5D38424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1B646C0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Health facility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263FEC06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215 (71.7%)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07A2EB1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352E5B1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40033D6D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3CDD761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Home/Other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090D9BA6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35 (53.8%)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601B71C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8.89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556063E9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0.003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68621926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Vaccine Availability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3DB8DBE4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57C6BF8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6927455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32432F4E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12FA01FA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1B0E6059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Always available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6CD1BE2A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210 (72.4%)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40D97C30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7027675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63C2C65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60B71FB2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Sometimes unavailable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36E147DA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40 (53.3%)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4CFE7606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10.50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26C2D3C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0.001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57BFE42E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Healthcare Worker Attitude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6FB5D7AC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47ADC66E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5DFE976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5C6289BB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2508" w:type="dxa"/>
          </w:tcPr>
          <w:p w14:paraId="0987DBE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73" w:type="dxa"/>
          </w:tcPr>
          <w:p w14:paraId="02BC0033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Friendly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027" w:type="dxa"/>
          </w:tcPr>
          <w:p w14:paraId="6CECEAD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185 (74.0%)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7673EE33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272" w:type="dxa"/>
          </w:tcPr>
          <w:p w14:paraId="74E8A3F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/>
        <w:tc>
          <w:tcPr>
            <w:shd w:val="clear" w:color="ffffff" w:fill="ffffff"/>
            <w:tcBorders/>
            <w:tcW w:w="2508" w:type="dxa"/>
          </w:tcPr>
          <w:p w14:paraId="1A73EF47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73" w:type="dxa"/>
          </w:tcPr>
          <w:p w14:paraId="5AF0E408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Neutral/Unfriendly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027" w:type="dxa"/>
          </w:tcPr>
          <w:p w14:paraId="1CF6C715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65 (56.5%)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74FD16E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12.94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272" w:type="dxa"/>
          </w:tcPr>
          <w:p w14:paraId="0207957F">
            <w:pPr>
              <w:pBdr/>
              <w:spacing w:after="0" w:line="36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&lt;0.001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</w:tbl>
    <w:p w14:paraId="50AF2B37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32DD36C0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0BE6D8D3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40" w:before="480" w:line="450" w:lineRule="atLeast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Table S6: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Dose-Specific Dropout Analysis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tbl>
      <w:tblPr>
        <w:tblStyle w:val="1_2"/>
        <w:tblW w:w="9554" w:type="dxa"/>
        <w:tblBorders/>
        <w:tblLook w:val="04A0" w:firstRow="1" w:lastRow="0" w:firstColumn="1" w:lastColumn="0" w:noHBand="0" w:noVBand="1"/>
      </w:tblPr>
      <w:tblGrid>
        <w:gridCol w:w="2223"/>
        <w:gridCol w:w="1730"/>
        <w:gridCol w:w="1730"/>
        <w:gridCol w:w="1730"/>
        <w:gridCol w:w="2141"/>
      </w:tblGrid>
      <w:tr>
        <w:trPr>
          <w:trHeight w:val="439"/>
        </w:trPr>
        <w:tc>
          <w:tcPr>
            <w:tcBorders/>
            <w:tcW w:w="2223" w:type="dxa"/>
          </w:tcPr>
          <w:p w14:paraId="65F5DDD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Vaccine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4DF39A09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Dose 1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644FEFA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Dose 2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297FC8C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Dose 3 n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41" w:type="dxa"/>
          </w:tcPr>
          <w:p w14:paraId="04775FE6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Dropout Rate (%)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18"/>
        </w:trPr>
        <w:tc>
          <w:tcPr>
            <w:shd w:val="clear" w:color="ffffff" w:fill="ffffff"/>
            <w:tcBorders/>
            <w:tcW w:w="2223" w:type="dxa"/>
          </w:tcPr>
          <w:p w14:paraId="0E737440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Penta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60AA0A2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340 (93.2%)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340360E9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305 (83.6%)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2751D5E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270 (74.0%)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41" w:type="dxa"/>
          </w:tcPr>
          <w:p w14:paraId="714334A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19.2%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9"/>
        </w:trPr>
        <w:tc>
          <w:tcPr>
            <w:tcBorders/>
            <w:tcW w:w="2223" w:type="dxa"/>
          </w:tcPr>
          <w:p w14:paraId="70CB23C3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PCV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688B96B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335 (91.8%)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01963DE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300 (82.2%)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2C40808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265 (72.6%)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41" w:type="dxa"/>
          </w:tcPr>
          <w:p w14:paraId="134BF58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19.2%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79"/>
        </w:trPr>
        <w:tc>
          <w:tcPr>
            <w:shd w:val="clear" w:color="ffffff" w:fill="ffffff"/>
            <w:tcBorders/>
            <w:tcW w:w="2223" w:type="dxa"/>
          </w:tcPr>
          <w:p w14:paraId="19AC913D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OPV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53EB9F0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340 (93.2%)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3D323C2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310 (84.9%)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3F008263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280 (76.7%)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41" w:type="dxa"/>
          </w:tcPr>
          <w:p w14:paraId="4144E6D9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16.5%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18"/>
        </w:trPr>
        <w:tc>
          <w:tcPr>
            <w:tcBorders/>
            <w:tcW w:w="2223" w:type="dxa"/>
          </w:tcPr>
          <w:p w14:paraId="21F1DDD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Rota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5B570D56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335 (91.8%)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62BD05C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295 (80.8%)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730" w:type="dxa"/>
          </w:tcPr>
          <w:p w14:paraId="1973E840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41" w:type="dxa"/>
          </w:tcPr>
          <w:p w14:paraId="703A1FD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11.9%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453"/>
        </w:trPr>
        <w:tc>
          <w:tcPr>
            <w:shd w:val="clear" w:color="ffffff" w:fill="ffffff"/>
            <w:tcBorders/>
            <w:tcW w:w="2223" w:type="dxa"/>
          </w:tcPr>
          <w:p w14:paraId="3B1A42F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Measles-Rubella 1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08CCA3EC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290 (79.5%)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20C1BB6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730" w:type="dxa"/>
          </w:tcPr>
          <w:p w14:paraId="411FCA34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41" w:type="dxa"/>
          </w:tcPr>
          <w:p w14:paraId="74C1E59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</w:tbl>
    <w:p w14:paraId="4CB26080">
      <w:pPr>
        <w:pBdr/>
        <w:spacing w:line="480" w:lineRule="auto"/>
        <w:ind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3784A11F">
      <w:pPr>
        <w:pStyle w:val="141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hd w:val="clear" w:color="ffffff" w:fill="ffffff"/>
        <w:spacing w:after="240" w:before="480" w:line="450" w:lineRule="atLeast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Table S7: 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Predictors of Vaccine Hesitancy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tbl>
      <w:tblPr>
        <w:tblStyle w:val="1_2"/>
        <w:tblW w:w="9643" w:type="dxa"/>
        <w:tblBorders/>
        <w:tblLook w:val="04A0" w:firstRow="1" w:lastRow="0" w:firstColumn="1" w:lastColumn="0" w:noHBand="0" w:noVBand="1"/>
      </w:tblPr>
      <w:tblGrid>
        <w:gridCol w:w="2901"/>
        <w:gridCol w:w="1636"/>
        <w:gridCol w:w="2177"/>
        <w:gridCol w:w="1481"/>
        <w:gridCol w:w="1448"/>
      </w:tblGrid>
      <w:tr>
        <w:trPr>
          <w:trHeight w:val="683"/>
        </w:trPr>
        <w:tc>
          <w:tcPr>
            <w:tcBorders/>
            <w:tcW w:w="2901" w:type="dxa"/>
          </w:tcPr>
          <w:p w14:paraId="1F458C0D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Characteristic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636" w:type="dxa"/>
          </w:tcPr>
          <w:p w14:paraId="77854D69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Hesitant (n=90)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77" w:type="dxa"/>
          </w:tcPr>
          <w:p w14:paraId="71842B3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Not Hesitant (n=275)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481" w:type="dxa"/>
          </w:tcPr>
          <w:p w14:paraId="23ADD48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AOR (95% CI)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448" w:type="dxa"/>
          </w:tcPr>
          <w:p w14:paraId="57A56D4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  <w:t xml:space="preserve">p-value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2"/>
        </w:trPr>
        <w:tc>
          <w:tcPr>
            <w:shd w:val="clear" w:color="ffffff" w:fill="ffffff"/>
            <w:tcBorders/>
            <w:tcW w:w="2901" w:type="dxa"/>
          </w:tcPr>
          <w:p w14:paraId="0611DFD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Low education (≤Primary)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636" w:type="dxa"/>
          </w:tcPr>
          <w:p w14:paraId="4D1308D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65 (72.2%)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77" w:type="dxa"/>
          </w:tcPr>
          <w:p w14:paraId="08294DE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100 (36.4%)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481" w:type="dxa"/>
          </w:tcPr>
          <w:p w14:paraId="3B489190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4.2 (2.4–7.3)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448" w:type="dxa"/>
          </w:tcPr>
          <w:p w14:paraId="5C3F152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&lt;0.001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2"/>
        </w:trPr>
        <w:tc>
          <w:tcPr>
            <w:tcBorders/>
            <w:tcW w:w="2901" w:type="dxa"/>
          </w:tcPr>
          <w:p w14:paraId="29C6C626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No formal employment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636" w:type="dxa"/>
          </w:tcPr>
          <w:p w14:paraId="7F03381B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50 (55.6%)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77" w:type="dxa"/>
          </w:tcPr>
          <w:p w14:paraId="3218E98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110 (40.0%)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481" w:type="dxa"/>
          </w:tcPr>
          <w:p w14:paraId="0851C97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1.9 (1.1–3.2)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448" w:type="dxa"/>
          </w:tcPr>
          <w:p w14:paraId="4202CC4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0.019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2"/>
        </w:trPr>
        <w:tc>
          <w:tcPr>
            <w:shd w:val="clear" w:color="ffffff" w:fill="ffffff"/>
            <w:tcBorders/>
            <w:tcW w:w="2901" w:type="dxa"/>
          </w:tcPr>
          <w:p w14:paraId="03604A46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No immunization reminders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636" w:type="dxa"/>
          </w:tcPr>
          <w:p w14:paraId="3051C74D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70 (77.8%)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77" w:type="dxa"/>
          </w:tcPr>
          <w:p w14:paraId="3B1342C3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155 (56.4%)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481" w:type="dxa"/>
          </w:tcPr>
          <w:p w14:paraId="3E3B9615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2.7 (1.5–4.8)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448" w:type="dxa"/>
          </w:tcPr>
          <w:p w14:paraId="62333B24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0.001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683"/>
        </w:trPr>
        <w:tc>
          <w:tcPr>
            <w:tcBorders/>
            <w:tcW w:w="2901" w:type="dxa"/>
          </w:tcPr>
          <w:p w14:paraId="5FB7DB8F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Negative HCW attitude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636" w:type="dxa"/>
          </w:tcPr>
          <w:p w14:paraId="2B1F4C81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30 (33.3%)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2177" w:type="dxa"/>
          </w:tcPr>
          <w:p w14:paraId="12E86AC9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50 (18.2%)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481" w:type="dxa"/>
          </w:tcPr>
          <w:p w14:paraId="70641B2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2.2 (1.2–4.1)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Borders/>
            <w:tcW w:w="1448" w:type="dxa"/>
          </w:tcPr>
          <w:p w14:paraId="302E89AA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0.009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702"/>
        </w:trPr>
        <w:tc>
          <w:tcPr>
            <w:shd w:val="clear" w:color="ffffff" w:fill="ffffff"/>
            <w:tcBorders/>
            <w:tcW w:w="2901" w:type="dxa"/>
          </w:tcPr>
          <w:p w14:paraId="1DAAF64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  <w:t xml:space="preserve">Community discouragement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636" w:type="dxa"/>
          </w:tcPr>
          <w:p w14:paraId="695BE448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45 (50.0%)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2177" w:type="dxa"/>
          </w:tcPr>
          <w:p w14:paraId="200065B7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25 (9.1%)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481" w:type="dxa"/>
          </w:tcPr>
          <w:p w14:paraId="7D754CAE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10.2 (5.4–19.3)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shd w:val="clear" w:color="ffffff" w:fill="ffffff"/>
            <w:tcBorders/>
            <w:tcW w:w="1448" w:type="dxa"/>
          </w:tcPr>
          <w:p w14:paraId="4BBBFD42">
            <w:pPr>
              <w:pBdr/>
              <w:spacing w:after="0" w:line="240" w:lineRule="auto"/>
              <w:ind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  <w:t xml:space="preserve">&lt;0.001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4"/>
                <w:szCs w:val="24"/>
              </w:rPr>
            </w:r>
          </w:p>
        </w:tc>
      </w:tr>
    </w:tbl>
    <w:p w14:paraId="0AD7FCAD">
      <w:pPr>
        <w:pBdr/>
        <w:spacing w:line="480" w:lineRule="auto"/>
        <w:ind w:firstLine="0"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 w14:paraId="63E12345">
      <w:pPr>
        <w:pBdr/>
        <w:spacing w:line="480" w:lineRule="auto"/>
        <w:ind w:firstLine="0" w:left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 w14:paraId="24FFFA25">
      <w:pPr>
        <w:pBdr/>
        <w:spacing w:line="480" w:lineRule="auto"/>
        <w:ind/>
        <w:rPr>
          <w:color w:val="000000" w:themeColor="text1"/>
          <w:szCs w:val="24"/>
        </w:rPr>
      </w:pP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  <w:r>
        <w:rPr>
          <w:color w:val="000000" w:themeColor="text1"/>
          <w:szCs w:val="24"/>
        </w:rPr>
      </w:r>
    </w:p>
    <w:p>
      <w:pPr>
        <w:pBdr/>
        <w:spacing/>
        <w:ind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table" w:styleId="1_3" w:customStyle="1">
    <w:name w:val="List Table 6 Colorful Accent 3"/>
    <w:basedOn w:val="835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>
        <w:top w:val="single" w:color="c9c9c9" w:themeColor="accent3" w:themeTint="98" w:sz="4" w:space="0"/>
        <w:left w:val="none" w:color="000000" w:sz="4" w:space="0"/>
        <w:bottom w:val="single" w:color="c9c9c9" w:themeColor="accent3" w:themeTint="98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  <w:noWrap w:val="false"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_2" w:customStyle="1">
    <w:name w:val="List Table 6 Colorful Accent 1"/>
    <w:basedOn w:val="835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hint="default"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  <w:tblPr>
      <w:tblStyleRowBandSize w:val="1"/>
      <w:tblStyleColBandSize w:val="1"/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>
        <w:top w:val="single" w:color="5b9bd5" w:themeColor="accent1" w:sz="4" w:space="0"/>
        <w:left w:val="none" w:color="000000" w:sz="4" w:space="0"/>
        <w:bottom w:val="single" w:color="5b9bd5" w:themeColor="accent1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</w:tblPr>
    <w:trPr>
      <w:cantSplit w:val="false"/>
      <w:jc w:val="left"/>
    </w:trPr>
    <w:tcPr>
      <w:tcBorders/>
      <w:tcW w:w="0" w:type="auto"/>
      <w:vAlign w:val="top"/>
      <w:vMerge w:val="restart"/>
      <w:hMerge w:val="restart"/>
      <w:noWrap w:val="false"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2026-07-28T15:06:26Z</dcterms:modified>
</cp:coreProperties>
</file>