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01E5F" w14:textId="77777777" w:rsidR="003D3B0B" w:rsidRDefault="00000000" w:rsidP="007A36A5">
      <w:pPr>
        <w:spacing w:line="480" w:lineRule="auto"/>
        <w:rPr>
          <w:rFonts w:ascii="Times New Roman" w:hAnsi="Times New Roman" w:cs="Times New Roman"/>
          <w:b/>
          <w:color w:val="000000"/>
          <w:sz w:val="20"/>
          <w:lang w:val="en-GB" w:eastAsia="ja-JP"/>
        </w:rPr>
      </w:pPr>
      <w:r w:rsidRPr="00B511FE">
        <w:rPr>
          <w:rFonts w:ascii="Times New Roman" w:eastAsia="Times New Roman" w:hAnsi="Times New Roman" w:cs="Times New Roman"/>
          <w:b/>
          <w:color w:val="000000"/>
          <w:sz w:val="20"/>
          <w:lang w:val="en-GB"/>
        </w:rPr>
        <w:t>Supplementary Figure S1. Stability of miR-93-5p expression levels across study groups.</w:t>
      </w:r>
    </w:p>
    <w:p w14:paraId="703E1362" w14:textId="62E8F9F1" w:rsidR="003D3B0B" w:rsidRDefault="00EE004C" w:rsidP="007A36A5">
      <w:pPr>
        <w:spacing w:line="480" w:lineRule="auto"/>
        <w:rPr>
          <w:rFonts w:ascii="Times New Roman" w:hAnsi="Times New Roman" w:cs="Times New Roman"/>
          <w:b/>
          <w:color w:val="000000"/>
          <w:sz w:val="20"/>
          <w:lang w:val="en-GB" w:eastAsia="ja-JP"/>
        </w:rPr>
      </w:pPr>
      <w:r w:rsidRPr="00EE004C">
        <w:rPr>
          <w:rFonts w:ascii="Times New Roman" w:hAnsi="Times New Roman" w:cs="Times New Roman"/>
          <w:b/>
          <w:color w:val="000000"/>
          <w:sz w:val="20"/>
          <w:lang w:val="en-GB" w:eastAsia="ja-JP"/>
        </w:rPr>
        <w:t xml:space="preserve"> </w:t>
      </w:r>
      <w:r w:rsidR="00130CBB" w:rsidRPr="00130CBB">
        <w:rPr>
          <w:rFonts w:ascii="Times New Roman" w:hAnsi="Times New Roman" w:cs="Times New Roman"/>
          <w:b/>
          <w:color w:val="000000"/>
          <w:sz w:val="20"/>
          <w:lang w:val="en-GB" w:eastAsia="ja-JP"/>
        </w:rPr>
        <w:t xml:space="preserve"> </w:t>
      </w:r>
      <w:r w:rsidR="00E04BAD">
        <w:rPr>
          <w:rFonts w:ascii="Times New Roman" w:hAnsi="Times New Roman" w:cs="Times New Roman"/>
          <w:b/>
          <w:noProof/>
          <w:color w:val="000000"/>
          <w:sz w:val="20"/>
          <w:lang w:val="en-GB" w:eastAsia="ja-JP"/>
        </w:rPr>
        <w:drawing>
          <wp:inline distT="0" distB="0" distL="0" distR="0" wp14:anchorId="49DFF00D" wp14:editId="7B057C4B">
            <wp:extent cx="1857394" cy="2340000"/>
            <wp:effectExtent l="0" t="0" r="0" b="3175"/>
            <wp:docPr id="9023920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92050" name="図 902392050"/>
                    <pic:cNvPicPr/>
                  </pic:nvPicPr>
                  <pic:blipFill>
                    <a:blip r:embed="rId6">
                      <a:extLst>
                        <a:ext uri="{28A0092B-C50C-407E-A947-70E740481C1C}">
                          <a14:useLocalDpi xmlns:a14="http://schemas.microsoft.com/office/drawing/2010/main" val="0"/>
                        </a:ext>
                      </a:extLst>
                    </a:blip>
                    <a:stretch>
                      <a:fillRect/>
                    </a:stretch>
                  </pic:blipFill>
                  <pic:spPr>
                    <a:xfrm>
                      <a:off x="0" y="0"/>
                      <a:ext cx="1857394" cy="2340000"/>
                    </a:xfrm>
                    <a:prstGeom prst="rect">
                      <a:avLst/>
                    </a:prstGeom>
                  </pic:spPr>
                </pic:pic>
              </a:graphicData>
            </a:graphic>
          </wp:inline>
        </w:drawing>
      </w:r>
    </w:p>
    <w:p w14:paraId="0CAE57E2" w14:textId="1EC96DF7" w:rsidR="003D3B0B" w:rsidRPr="003D3B0B" w:rsidRDefault="00000000" w:rsidP="007A36A5">
      <w:pPr>
        <w:spacing w:line="480" w:lineRule="auto"/>
        <w:rPr>
          <w:rFonts w:ascii="Times New Roman" w:hAnsi="Times New Roman" w:cs="Times New Roman"/>
          <w:color w:val="000000"/>
          <w:sz w:val="20"/>
          <w:lang w:val="en-GB" w:eastAsia="ja-JP"/>
        </w:rPr>
        <w:sectPr w:rsidR="003D3B0B" w:rsidRPr="003D3B0B">
          <w:pgSz w:w="12240" w:h="15840"/>
          <w:pgMar w:top="1440" w:right="1440" w:bottom="1440" w:left="1440" w:header="708" w:footer="708" w:gutter="0"/>
          <w:cols w:space="708"/>
          <w:docGrid w:linePitch="360"/>
        </w:sectPr>
      </w:pPr>
      <w:r w:rsidRPr="00B511FE">
        <w:rPr>
          <w:rFonts w:ascii="Times New Roman" w:eastAsia="Times New Roman" w:hAnsi="Times New Roman" w:cs="Times New Roman"/>
          <w:color w:val="000000"/>
          <w:sz w:val="20"/>
          <w:lang w:val="en-GB"/>
        </w:rPr>
        <w:t xml:space="preserve"> Box-and-whisker plots illustrate the raw Ct values of miR-93-5p, which was selected as the endogenous control, among healthy controls (n = 23)</w:t>
      </w:r>
      <w:r w:rsidR="00E17FE1">
        <w:rPr>
          <w:rFonts w:ascii="Times New Roman" w:eastAsia="Times New Roman" w:hAnsi="Times New Roman" w:cs="Times New Roman"/>
          <w:color w:val="000000"/>
          <w:sz w:val="20"/>
          <w:lang w:val="en-GB"/>
        </w:rPr>
        <w:t xml:space="preserve"> and</w:t>
      </w:r>
      <w:r w:rsidRPr="00B511FE">
        <w:rPr>
          <w:rFonts w:ascii="Times New Roman" w:eastAsia="Times New Roman" w:hAnsi="Times New Roman" w:cs="Times New Roman"/>
          <w:color w:val="000000"/>
          <w:sz w:val="20"/>
          <w:lang w:val="en-GB"/>
        </w:rPr>
        <w:t xml:space="preserve"> patients with colorectal adenoma (n = 13), early-stage CRC (</w:t>
      </w:r>
      <w:r w:rsidR="00E17FE1">
        <w:rPr>
          <w:rFonts w:ascii="Times New Roman" w:eastAsia="Times New Roman" w:hAnsi="Times New Roman" w:cs="Times New Roman"/>
          <w:color w:val="000000"/>
          <w:sz w:val="20"/>
          <w:lang w:val="en-GB"/>
        </w:rPr>
        <w:t>s</w:t>
      </w:r>
      <w:r w:rsidRPr="00B511FE">
        <w:rPr>
          <w:rFonts w:ascii="Times New Roman" w:eastAsia="Times New Roman" w:hAnsi="Times New Roman" w:cs="Times New Roman"/>
          <w:color w:val="000000"/>
          <w:sz w:val="20"/>
          <w:lang w:val="en-GB"/>
        </w:rPr>
        <w:t>tage</w:t>
      </w:r>
      <w:r w:rsidR="00D31AB4">
        <w:rPr>
          <w:rFonts w:ascii="Times New Roman" w:eastAsia="Times New Roman" w:hAnsi="Times New Roman" w:cs="Times New Roman"/>
          <w:color w:val="000000"/>
          <w:sz w:val="20"/>
          <w:lang w:val="en-GB"/>
        </w:rPr>
        <w:t>s</w:t>
      </w:r>
      <w:r w:rsidRPr="00B511FE">
        <w:rPr>
          <w:rFonts w:ascii="Times New Roman" w:eastAsia="Times New Roman" w:hAnsi="Times New Roman" w:cs="Times New Roman"/>
          <w:color w:val="000000"/>
          <w:sz w:val="20"/>
          <w:lang w:val="en-GB"/>
        </w:rPr>
        <w:t xml:space="preserve"> 0–I, n = 24), and advanced-stage CRC (</w:t>
      </w:r>
      <w:r w:rsidR="00D31AB4">
        <w:rPr>
          <w:rFonts w:ascii="Times New Roman" w:eastAsia="Times New Roman" w:hAnsi="Times New Roman" w:cs="Times New Roman"/>
          <w:color w:val="000000"/>
          <w:sz w:val="20"/>
          <w:lang w:val="en-GB"/>
        </w:rPr>
        <w:t>s</w:t>
      </w:r>
      <w:r w:rsidRPr="00B511FE">
        <w:rPr>
          <w:rFonts w:ascii="Times New Roman" w:eastAsia="Times New Roman" w:hAnsi="Times New Roman" w:cs="Times New Roman"/>
          <w:color w:val="000000"/>
          <w:sz w:val="20"/>
          <w:lang w:val="en-GB"/>
        </w:rPr>
        <w:t>tage</w:t>
      </w:r>
      <w:r w:rsidR="00D31AB4">
        <w:rPr>
          <w:rFonts w:ascii="Times New Roman" w:eastAsia="Times New Roman" w:hAnsi="Times New Roman" w:cs="Times New Roman"/>
          <w:color w:val="000000"/>
          <w:sz w:val="20"/>
          <w:lang w:val="en-GB"/>
        </w:rPr>
        <w:t>s</w:t>
      </w:r>
      <w:r w:rsidRPr="00B511FE">
        <w:rPr>
          <w:rFonts w:ascii="Times New Roman" w:eastAsia="Times New Roman" w:hAnsi="Times New Roman" w:cs="Times New Roman"/>
          <w:color w:val="000000"/>
          <w:sz w:val="20"/>
          <w:lang w:val="en-GB"/>
        </w:rPr>
        <w:t xml:space="preserve"> II–III, n = 39) in the discovery cohort. The horizontal line within each box represents the median, the limits of the box represent the IQR, and the whiskers extend to the furthest data points within 1.5 times IQR (Tukey method). No statistically significant differences in Ct values were observed among the four groups (Kruskal</w:t>
      </w:r>
      <w:r w:rsidR="00B024B2">
        <w:rPr>
          <w:rFonts w:ascii="Times New Roman" w:eastAsia="Times New Roman" w:hAnsi="Times New Roman" w:cs="Times New Roman"/>
          <w:color w:val="000000"/>
          <w:sz w:val="20"/>
          <w:lang w:val="en-GB"/>
        </w:rPr>
        <w:t>–</w:t>
      </w:r>
      <w:proofErr w:type="gramStart"/>
      <w:r w:rsidRPr="00B511FE">
        <w:rPr>
          <w:rFonts w:ascii="Times New Roman" w:eastAsia="Times New Roman" w:hAnsi="Times New Roman" w:cs="Times New Roman"/>
          <w:color w:val="000000"/>
          <w:sz w:val="20"/>
          <w:lang w:val="en-GB"/>
        </w:rPr>
        <w:t>Wallis</w:t>
      </w:r>
      <w:proofErr w:type="gramEnd"/>
      <w:r w:rsidRPr="00B511FE">
        <w:rPr>
          <w:rFonts w:ascii="Times New Roman" w:eastAsia="Times New Roman" w:hAnsi="Times New Roman" w:cs="Times New Roman"/>
          <w:color w:val="000000"/>
          <w:sz w:val="20"/>
          <w:lang w:val="en-GB"/>
        </w:rPr>
        <w:t xml:space="preserve"> test, </w:t>
      </w:r>
      <w:r w:rsidR="004C50A3">
        <w:rPr>
          <w:rFonts w:ascii="Times New Roman" w:hAnsi="Times New Roman" w:cs="Times New Roman" w:hint="eastAsia"/>
          <w:color w:val="000000"/>
          <w:sz w:val="20"/>
          <w:lang w:val="en-GB" w:eastAsia="ja-JP"/>
        </w:rPr>
        <w:t>P</w:t>
      </w:r>
      <w:r w:rsidR="004C50A3" w:rsidRPr="00B511FE">
        <w:rPr>
          <w:rFonts w:ascii="Times New Roman" w:eastAsia="Times New Roman" w:hAnsi="Times New Roman" w:cs="Times New Roman"/>
          <w:color w:val="000000"/>
          <w:sz w:val="20"/>
          <w:lang w:val="en-GB"/>
        </w:rPr>
        <w:t xml:space="preserve"> </w:t>
      </w:r>
      <w:r w:rsidRPr="00B511FE">
        <w:rPr>
          <w:rFonts w:ascii="Times New Roman" w:eastAsia="Times New Roman" w:hAnsi="Times New Roman" w:cs="Times New Roman"/>
          <w:color w:val="000000"/>
          <w:sz w:val="20"/>
          <w:lang w:val="en-GB"/>
        </w:rPr>
        <w:t>= 0.109), validating its suitability as a robust reference gene for data normali</w:t>
      </w:r>
      <w:r>
        <w:rPr>
          <w:rFonts w:ascii="Times New Roman" w:eastAsia="Times New Roman" w:hAnsi="Times New Roman"/>
          <w:color w:val="000000"/>
          <w:sz w:val="20"/>
          <w:lang w:val="en-GB"/>
        </w:rPr>
        <w:t>s</w:t>
      </w:r>
      <w:r w:rsidRPr="00B511FE">
        <w:rPr>
          <w:rFonts w:ascii="Times New Roman" w:eastAsia="Times New Roman" w:hAnsi="Times New Roman" w:cs="Times New Roman"/>
          <w:color w:val="000000"/>
          <w:sz w:val="20"/>
          <w:lang w:val="en-GB"/>
        </w:rPr>
        <w:t>ation. Ct, cycle threshold; CRC, colorectal cancer; IQR, interquartile range</w:t>
      </w:r>
    </w:p>
    <w:p w14:paraId="3171EBAA" w14:textId="288F4843" w:rsidR="002467F1" w:rsidRPr="00BE3BF6" w:rsidRDefault="002467F1" w:rsidP="002467F1">
      <w:pPr>
        <w:spacing w:line="480" w:lineRule="auto"/>
        <w:rPr>
          <w:lang w:eastAsia="ja-JP"/>
        </w:rPr>
      </w:pPr>
    </w:p>
    <w:tbl>
      <w:tblPr>
        <w:tblW w:w="5000" w:type="pct"/>
        <w:tblCellMar>
          <w:left w:w="99" w:type="dxa"/>
          <w:right w:w="99" w:type="dxa"/>
        </w:tblCellMar>
        <w:tblLook w:val="04A0" w:firstRow="1" w:lastRow="0" w:firstColumn="1" w:lastColumn="0" w:noHBand="0" w:noVBand="1"/>
      </w:tblPr>
      <w:tblGrid>
        <w:gridCol w:w="2110"/>
        <w:gridCol w:w="3455"/>
        <w:gridCol w:w="2512"/>
        <w:gridCol w:w="4883"/>
      </w:tblGrid>
      <w:tr w:rsidR="002467F1" w:rsidRPr="002467F1" w14:paraId="3D7FED00" w14:textId="77777777" w:rsidTr="002467F1">
        <w:trPr>
          <w:trHeight w:val="370"/>
        </w:trPr>
        <w:tc>
          <w:tcPr>
            <w:tcW w:w="5000" w:type="pct"/>
            <w:gridSpan w:val="4"/>
            <w:tcBorders>
              <w:top w:val="nil"/>
              <w:left w:val="nil"/>
              <w:bottom w:val="single" w:sz="8" w:space="0" w:color="auto"/>
              <w:right w:val="nil"/>
            </w:tcBorders>
            <w:noWrap/>
            <w:vAlign w:val="center"/>
            <w:hideMark/>
          </w:tcPr>
          <w:p w14:paraId="449905CA" w14:textId="308C6749"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 xml:space="preserve">Supplementary Table S1.  </w:t>
            </w:r>
            <w:proofErr w:type="spellStart"/>
            <w:r w:rsidRPr="002467F1">
              <w:rPr>
                <w:rFonts w:ascii="Times New Roman" w:eastAsia="游ゴシック" w:hAnsi="Times New Roman" w:cs="Times New Roman"/>
                <w:color w:val="000000"/>
                <w:lang w:val="en-US" w:eastAsia="ja-JP"/>
              </w:rPr>
              <w:t>miRBase</w:t>
            </w:r>
            <w:proofErr w:type="spellEnd"/>
            <w:r w:rsidRPr="002467F1">
              <w:rPr>
                <w:rFonts w:ascii="Times New Roman" w:eastAsia="游ゴシック" w:hAnsi="Times New Roman" w:cs="Times New Roman"/>
                <w:color w:val="000000"/>
                <w:lang w:val="en-US" w:eastAsia="ja-JP"/>
              </w:rPr>
              <w:t xml:space="preserve"> </w:t>
            </w:r>
            <w:r w:rsidR="00D84A3F">
              <w:rPr>
                <w:rFonts w:ascii="Times New Roman" w:eastAsia="游ゴシック" w:hAnsi="Times New Roman" w:cs="Times New Roman" w:hint="eastAsia"/>
                <w:color w:val="000000"/>
                <w:lang w:val="en-US" w:eastAsia="ja-JP"/>
              </w:rPr>
              <w:t>A</w:t>
            </w:r>
            <w:r w:rsidRPr="002467F1">
              <w:rPr>
                <w:rFonts w:ascii="Times New Roman" w:eastAsia="游ゴシック" w:hAnsi="Times New Roman" w:cs="Times New Roman"/>
                <w:color w:val="000000"/>
                <w:lang w:val="en-US" w:eastAsia="ja-JP"/>
              </w:rPr>
              <w:t xml:space="preserve">ccession </w:t>
            </w:r>
            <w:r w:rsidR="004C50A3">
              <w:rPr>
                <w:rFonts w:ascii="Times New Roman" w:eastAsia="游ゴシック" w:hAnsi="Times New Roman" w:cs="Times New Roman" w:hint="eastAsia"/>
                <w:color w:val="000000"/>
                <w:lang w:val="en-US" w:eastAsia="ja-JP"/>
              </w:rPr>
              <w:t>N</w:t>
            </w:r>
            <w:r w:rsidR="004C50A3" w:rsidRPr="002467F1">
              <w:rPr>
                <w:rFonts w:ascii="Times New Roman" w:eastAsia="游ゴシック" w:hAnsi="Times New Roman" w:cs="Times New Roman"/>
                <w:color w:val="000000"/>
                <w:lang w:val="en-US" w:eastAsia="ja-JP"/>
              </w:rPr>
              <w:t xml:space="preserve">umbers </w:t>
            </w:r>
            <w:r w:rsidRPr="002467F1">
              <w:rPr>
                <w:rFonts w:ascii="Times New Roman" w:eastAsia="游ゴシック" w:hAnsi="Times New Roman" w:cs="Times New Roman"/>
                <w:color w:val="000000"/>
                <w:lang w:val="en-US" w:eastAsia="ja-JP"/>
              </w:rPr>
              <w:t>and TaqMan™ MicroRNA Assay IDs.</w:t>
            </w:r>
          </w:p>
        </w:tc>
      </w:tr>
      <w:tr w:rsidR="002467F1" w:rsidRPr="002467F1" w14:paraId="3454CC94" w14:textId="77777777" w:rsidTr="002467F1">
        <w:trPr>
          <w:trHeight w:val="360"/>
        </w:trPr>
        <w:tc>
          <w:tcPr>
            <w:tcW w:w="814" w:type="pct"/>
            <w:tcBorders>
              <w:top w:val="nil"/>
              <w:left w:val="nil"/>
              <w:bottom w:val="single" w:sz="4" w:space="0" w:color="auto"/>
              <w:right w:val="nil"/>
            </w:tcBorders>
            <w:noWrap/>
            <w:vAlign w:val="center"/>
            <w:hideMark/>
          </w:tcPr>
          <w:p w14:paraId="6FB3F1F0"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miRNA</w:t>
            </w:r>
          </w:p>
        </w:tc>
        <w:tc>
          <w:tcPr>
            <w:tcW w:w="1333" w:type="pct"/>
            <w:tcBorders>
              <w:top w:val="nil"/>
              <w:left w:val="nil"/>
              <w:bottom w:val="single" w:sz="4" w:space="0" w:color="auto"/>
              <w:right w:val="nil"/>
            </w:tcBorders>
            <w:noWrap/>
            <w:vAlign w:val="center"/>
            <w:hideMark/>
          </w:tcPr>
          <w:p w14:paraId="65557554"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proofErr w:type="spellStart"/>
            <w:r w:rsidRPr="002467F1">
              <w:rPr>
                <w:rFonts w:ascii="Times New Roman" w:eastAsia="游ゴシック" w:hAnsi="Times New Roman" w:cs="Times New Roman"/>
                <w:color w:val="000000"/>
                <w:lang w:val="en-US" w:eastAsia="ja-JP"/>
              </w:rPr>
              <w:t>miRBase</w:t>
            </w:r>
            <w:proofErr w:type="spellEnd"/>
            <w:r w:rsidRPr="002467F1">
              <w:rPr>
                <w:rFonts w:ascii="Times New Roman" w:eastAsia="游ゴシック" w:hAnsi="Times New Roman" w:cs="Times New Roman"/>
                <w:color w:val="000000"/>
                <w:lang w:val="en-US" w:eastAsia="ja-JP"/>
              </w:rPr>
              <w:t xml:space="preserve"> Accession Number</w:t>
            </w:r>
          </w:p>
        </w:tc>
        <w:tc>
          <w:tcPr>
            <w:tcW w:w="969" w:type="pct"/>
            <w:tcBorders>
              <w:top w:val="nil"/>
              <w:left w:val="nil"/>
              <w:bottom w:val="single" w:sz="4" w:space="0" w:color="auto"/>
              <w:right w:val="nil"/>
            </w:tcBorders>
            <w:noWrap/>
            <w:vAlign w:val="center"/>
            <w:hideMark/>
          </w:tcPr>
          <w:p w14:paraId="1A82FC26"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TaqMan™ Assay ID</w:t>
            </w:r>
          </w:p>
        </w:tc>
        <w:tc>
          <w:tcPr>
            <w:tcW w:w="1884" w:type="pct"/>
            <w:tcBorders>
              <w:top w:val="nil"/>
              <w:left w:val="nil"/>
              <w:bottom w:val="single" w:sz="4" w:space="0" w:color="auto"/>
              <w:right w:val="nil"/>
            </w:tcBorders>
            <w:noWrap/>
            <w:vAlign w:val="center"/>
            <w:hideMark/>
          </w:tcPr>
          <w:p w14:paraId="2E0FEF1C"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Target Sequence</w:t>
            </w:r>
          </w:p>
        </w:tc>
      </w:tr>
      <w:tr w:rsidR="002467F1" w:rsidRPr="002467F1" w14:paraId="687A53DF" w14:textId="77777777" w:rsidTr="002467F1">
        <w:trPr>
          <w:trHeight w:val="360"/>
        </w:trPr>
        <w:tc>
          <w:tcPr>
            <w:tcW w:w="814" w:type="pct"/>
            <w:tcBorders>
              <w:top w:val="nil"/>
              <w:left w:val="nil"/>
              <w:bottom w:val="nil"/>
              <w:right w:val="nil"/>
            </w:tcBorders>
            <w:noWrap/>
            <w:vAlign w:val="center"/>
            <w:hideMark/>
          </w:tcPr>
          <w:p w14:paraId="34392794"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hsa-miR-15b-5p</w:t>
            </w:r>
          </w:p>
        </w:tc>
        <w:tc>
          <w:tcPr>
            <w:tcW w:w="1333" w:type="pct"/>
            <w:tcBorders>
              <w:top w:val="nil"/>
              <w:left w:val="nil"/>
              <w:bottom w:val="nil"/>
              <w:right w:val="nil"/>
            </w:tcBorders>
            <w:noWrap/>
            <w:vAlign w:val="center"/>
            <w:hideMark/>
          </w:tcPr>
          <w:p w14:paraId="0FB01C21"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MIMAT0000417</w:t>
            </w:r>
          </w:p>
        </w:tc>
        <w:tc>
          <w:tcPr>
            <w:tcW w:w="969" w:type="pct"/>
            <w:tcBorders>
              <w:top w:val="nil"/>
              <w:left w:val="nil"/>
              <w:bottom w:val="nil"/>
              <w:right w:val="nil"/>
            </w:tcBorders>
            <w:noWrap/>
            <w:vAlign w:val="center"/>
            <w:hideMark/>
          </w:tcPr>
          <w:p w14:paraId="7233DCC7"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000390</w:t>
            </w:r>
          </w:p>
        </w:tc>
        <w:tc>
          <w:tcPr>
            <w:tcW w:w="1884" w:type="pct"/>
            <w:tcBorders>
              <w:top w:val="nil"/>
              <w:left w:val="nil"/>
              <w:bottom w:val="nil"/>
              <w:right w:val="nil"/>
            </w:tcBorders>
            <w:noWrap/>
            <w:vAlign w:val="center"/>
            <w:hideMark/>
          </w:tcPr>
          <w:p w14:paraId="4AA9A060"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UAGCAGCACAUCAUGGUUUACA</w:t>
            </w:r>
          </w:p>
        </w:tc>
      </w:tr>
      <w:tr w:rsidR="002467F1" w:rsidRPr="002467F1" w14:paraId="0EF9578A" w14:textId="77777777" w:rsidTr="002467F1">
        <w:trPr>
          <w:trHeight w:val="360"/>
        </w:trPr>
        <w:tc>
          <w:tcPr>
            <w:tcW w:w="814" w:type="pct"/>
            <w:tcBorders>
              <w:top w:val="nil"/>
              <w:left w:val="nil"/>
              <w:bottom w:val="nil"/>
              <w:right w:val="nil"/>
            </w:tcBorders>
            <w:noWrap/>
            <w:vAlign w:val="center"/>
            <w:hideMark/>
          </w:tcPr>
          <w:p w14:paraId="37F0796A"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hsa-miR-122-5p</w:t>
            </w:r>
          </w:p>
        </w:tc>
        <w:tc>
          <w:tcPr>
            <w:tcW w:w="1333" w:type="pct"/>
            <w:tcBorders>
              <w:top w:val="nil"/>
              <w:left w:val="nil"/>
              <w:bottom w:val="nil"/>
              <w:right w:val="nil"/>
            </w:tcBorders>
            <w:noWrap/>
            <w:vAlign w:val="center"/>
            <w:hideMark/>
          </w:tcPr>
          <w:p w14:paraId="1F6EA476"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MIMAT0000421</w:t>
            </w:r>
          </w:p>
        </w:tc>
        <w:tc>
          <w:tcPr>
            <w:tcW w:w="969" w:type="pct"/>
            <w:tcBorders>
              <w:top w:val="nil"/>
              <w:left w:val="nil"/>
              <w:bottom w:val="nil"/>
              <w:right w:val="nil"/>
            </w:tcBorders>
            <w:noWrap/>
            <w:vAlign w:val="center"/>
            <w:hideMark/>
          </w:tcPr>
          <w:p w14:paraId="72A80B3F"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002245</w:t>
            </w:r>
          </w:p>
        </w:tc>
        <w:tc>
          <w:tcPr>
            <w:tcW w:w="1884" w:type="pct"/>
            <w:tcBorders>
              <w:top w:val="nil"/>
              <w:left w:val="nil"/>
              <w:bottom w:val="nil"/>
              <w:right w:val="nil"/>
            </w:tcBorders>
            <w:noWrap/>
            <w:vAlign w:val="center"/>
            <w:hideMark/>
          </w:tcPr>
          <w:p w14:paraId="33C45B8F"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UGGAGUGUGACAAUGGUGUUUG</w:t>
            </w:r>
          </w:p>
        </w:tc>
      </w:tr>
      <w:tr w:rsidR="002467F1" w:rsidRPr="002467F1" w14:paraId="71384313" w14:textId="77777777" w:rsidTr="002467F1">
        <w:trPr>
          <w:trHeight w:val="360"/>
        </w:trPr>
        <w:tc>
          <w:tcPr>
            <w:tcW w:w="814" w:type="pct"/>
            <w:tcBorders>
              <w:top w:val="nil"/>
              <w:left w:val="nil"/>
              <w:bottom w:val="nil"/>
              <w:right w:val="nil"/>
            </w:tcBorders>
            <w:noWrap/>
            <w:vAlign w:val="center"/>
            <w:hideMark/>
          </w:tcPr>
          <w:p w14:paraId="0EA013C4"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hsa-miR-126-3p</w:t>
            </w:r>
          </w:p>
        </w:tc>
        <w:tc>
          <w:tcPr>
            <w:tcW w:w="1333" w:type="pct"/>
            <w:tcBorders>
              <w:top w:val="nil"/>
              <w:left w:val="nil"/>
              <w:bottom w:val="nil"/>
              <w:right w:val="nil"/>
            </w:tcBorders>
            <w:noWrap/>
            <w:vAlign w:val="center"/>
            <w:hideMark/>
          </w:tcPr>
          <w:p w14:paraId="2E22F662"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MIMAT0000445</w:t>
            </w:r>
          </w:p>
        </w:tc>
        <w:tc>
          <w:tcPr>
            <w:tcW w:w="969" w:type="pct"/>
            <w:tcBorders>
              <w:top w:val="nil"/>
              <w:left w:val="nil"/>
              <w:bottom w:val="nil"/>
              <w:right w:val="nil"/>
            </w:tcBorders>
            <w:noWrap/>
            <w:vAlign w:val="center"/>
            <w:hideMark/>
          </w:tcPr>
          <w:p w14:paraId="0E52DF94"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002228</w:t>
            </w:r>
          </w:p>
        </w:tc>
        <w:tc>
          <w:tcPr>
            <w:tcW w:w="1884" w:type="pct"/>
            <w:tcBorders>
              <w:top w:val="nil"/>
              <w:left w:val="nil"/>
              <w:bottom w:val="nil"/>
              <w:right w:val="nil"/>
            </w:tcBorders>
            <w:noWrap/>
            <w:vAlign w:val="center"/>
            <w:hideMark/>
          </w:tcPr>
          <w:p w14:paraId="1C57D94E"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UCGUACCGUGAGUAAUAAUGCG</w:t>
            </w:r>
          </w:p>
        </w:tc>
      </w:tr>
      <w:tr w:rsidR="002467F1" w:rsidRPr="002467F1" w14:paraId="27876BF4" w14:textId="77777777" w:rsidTr="002467F1">
        <w:trPr>
          <w:trHeight w:val="360"/>
        </w:trPr>
        <w:tc>
          <w:tcPr>
            <w:tcW w:w="814" w:type="pct"/>
            <w:tcBorders>
              <w:top w:val="nil"/>
              <w:left w:val="nil"/>
              <w:bottom w:val="nil"/>
              <w:right w:val="nil"/>
            </w:tcBorders>
            <w:noWrap/>
            <w:vAlign w:val="center"/>
            <w:hideMark/>
          </w:tcPr>
          <w:p w14:paraId="16722385"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hsa-miR-130a-3p</w:t>
            </w:r>
          </w:p>
        </w:tc>
        <w:tc>
          <w:tcPr>
            <w:tcW w:w="1333" w:type="pct"/>
            <w:tcBorders>
              <w:top w:val="nil"/>
              <w:left w:val="nil"/>
              <w:bottom w:val="nil"/>
              <w:right w:val="nil"/>
            </w:tcBorders>
            <w:noWrap/>
            <w:vAlign w:val="center"/>
            <w:hideMark/>
          </w:tcPr>
          <w:p w14:paraId="33C96348"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MIMAT0000425</w:t>
            </w:r>
          </w:p>
        </w:tc>
        <w:tc>
          <w:tcPr>
            <w:tcW w:w="969" w:type="pct"/>
            <w:tcBorders>
              <w:top w:val="nil"/>
              <w:left w:val="nil"/>
              <w:bottom w:val="nil"/>
              <w:right w:val="nil"/>
            </w:tcBorders>
            <w:noWrap/>
            <w:vAlign w:val="center"/>
            <w:hideMark/>
          </w:tcPr>
          <w:p w14:paraId="4FF2A350"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000454</w:t>
            </w:r>
          </w:p>
        </w:tc>
        <w:tc>
          <w:tcPr>
            <w:tcW w:w="1884" w:type="pct"/>
            <w:tcBorders>
              <w:top w:val="nil"/>
              <w:left w:val="nil"/>
              <w:bottom w:val="nil"/>
              <w:right w:val="nil"/>
            </w:tcBorders>
            <w:noWrap/>
            <w:vAlign w:val="center"/>
            <w:hideMark/>
          </w:tcPr>
          <w:p w14:paraId="2A700BF4"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CAGUGCAAUGUUAAAAGGGCAU</w:t>
            </w:r>
          </w:p>
        </w:tc>
      </w:tr>
      <w:tr w:rsidR="002467F1" w:rsidRPr="002467F1" w14:paraId="28F78FCA" w14:textId="77777777" w:rsidTr="002467F1">
        <w:trPr>
          <w:trHeight w:val="360"/>
        </w:trPr>
        <w:tc>
          <w:tcPr>
            <w:tcW w:w="814" w:type="pct"/>
            <w:tcBorders>
              <w:top w:val="nil"/>
              <w:left w:val="nil"/>
              <w:bottom w:val="nil"/>
              <w:right w:val="nil"/>
            </w:tcBorders>
            <w:noWrap/>
            <w:vAlign w:val="center"/>
            <w:hideMark/>
          </w:tcPr>
          <w:p w14:paraId="11454117"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hsa-miR-146a-5p</w:t>
            </w:r>
          </w:p>
        </w:tc>
        <w:tc>
          <w:tcPr>
            <w:tcW w:w="1333" w:type="pct"/>
            <w:tcBorders>
              <w:top w:val="nil"/>
              <w:left w:val="nil"/>
              <w:bottom w:val="nil"/>
              <w:right w:val="nil"/>
            </w:tcBorders>
            <w:noWrap/>
            <w:vAlign w:val="center"/>
            <w:hideMark/>
          </w:tcPr>
          <w:p w14:paraId="28DED3D7"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 xml:space="preserve">MIMAT0000449 </w:t>
            </w:r>
          </w:p>
        </w:tc>
        <w:tc>
          <w:tcPr>
            <w:tcW w:w="969" w:type="pct"/>
            <w:tcBorders>
              <w:top w:val="nil"/>
              <w:left w:val="nil"/>
              <w:bottom w:val="nil"/>
              <w:right w:val="nil"/>
            </w:tcBorders>
            <w:noWrap/>
            <w:vAlign w:val="center"/>
            <w:hideMark/>
          </w:tcPr>
          <w:p w14:paraId="0771B9B3"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000468</w:t>
            </w:r>
          </w:p>
        </w:tc>
        <w:tc>
          <w:tcPr>
            <w:tcW w:w="1884" w:type="pct"/>
            <w:tcBorders>
              <w:top w:val="nil"/>
              <w:left w:val="nil"/>
              <w:bottom w:val="nil"/>
              <w:right w:val="nil"/>
            </w:tcBorders>
            <w:noWrap/>
            <w:vAlign w:val="center"/>
            <w:hideMark/>
          </w:tcPr>
          <w:p w14:paraId="30EDAC4B"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UGAGAACUGAAUUCCAUGGGUU</w:t>
            </w:r>
          </w:p>
        </w:tc>
      </w:tr>
      <w:tr w:rsidR="002467F1" w:rsidRPr="002467F1" w14:paraId="37F3C87D" w14:textId="77777777" w:rsidTr="002467F1">
        <w:trPr>
          <w:trHeight w:val="370"/>
        </w:trPr>
        <w:tc>
          <w:tcPr>
            <w:tcW w:w="814" w:type="pct"/>
            <w:tcBorders>
              <w:top w:val="nil"/>
              <w:left w:val="nil"/>
              <w:bottom w:val="single" w:sz="8" w:space="0" w:color="auto"/>
              <w:right w:val="nil"/>
            </w:tcBorders>
            <w:noWrap/>
            <w:vAlign w:val="center"/>
            <w:hideMark/>
          </w:tcPr>
          <w:p w14:paraId="3C540A5B"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hsa-miR-93-5p</w:t>
            </w:r>
          </w:p>
        </w:tc>
        <w:tc>
          <w:tcPr>
            <w:tcW w:w="1333" w:type="pct"/>
            <w:tcBorders>
              <w:top w:val="nil"/>
              <w:left w:val="nil"/>
              <w:bottom w:val="single" w:sz="8" w:space="0" w:color="auto"/>
              <w:right w:val="nil"/>
            </w:tcBorders>
            <w:noWrap/>
            <w:vAlign w:val="center"/>
            <w:hideMark/>
          </w:tcPr>
          <w:p w14:paraId="7F1E13F4"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MIMAT0000093</w:t>
            </w:r>
          </w:p>
        </w:tc>
        <w:tc>
          <w:tcPr>
            <w:tcW w:w="969" w:type="pct"/>
            <w:tcBorders>
              <w:top w:val="nil"/>
              <w:left w:val="nil"/>
              <w:bottom w:val="single" w:sz="8" w:space="0" w:color="auto"/>
              <w:right w:val="nil"/>
            </w:tcBorders>
            <w:noWrap/>
            <w:vAlign w:val="center"/>
            <w:hideMark/>
          </w:tcPr>
          <w:p w14:paraId="3FF0821C"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001090</w:t>
            </w:r>
          </w:p>
        </w:tc>
        <w:tc>
          <w:tcPr>
            <w:tcW w:w="1884" w:type="pct"/>
            <w:tcBorders>
              <w:top w:val="nil"/>
              <w:left w:val="nil"/>
              <w:bottom w:val="single" w:sz="8" w:space="0" w:color="auto"/>
              <w:right w:val="nil"/>
            </w:tcBorders>
            <w:noWrap/>
            <w:vAlign w:val="center"/>
            <w:hideMark/>
          </w:tcPr>
          <w:p w14:paraId="08BC396D"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CAAAGUGCUGUUCGUGCAGGUAG</w:t>
            </w:r>
          </w:p>
        </w:tc>
      </w:tr>
      <w:tr w:rsidR="002467F1" w:rsidRPr="002467F1" w14:paraId="46F14F98" w14:textId="77777777" w:rsidTr="002467F1">
        <w:trPr>
          <w:trHeight w:val="510"/>
        </w:trPr>
        <w:tc>
          <w:tcPr>
            <w:tcW w:w="5000" w:type="pct"/>
            <w:gridSpan w:val="4"/>
            <w:tcBorders>
              <w:top w:val="single" w:sz="8" w:space="0" w:color="auto"/>
              <w:left w:val="nil"/>
              <w:bottom w:val="nil"/>
              <w:right w:val="nil"/>
            </w:tcBorders>
            <w:vAlign w:val="center"/>
            <w:hideMark/>
          </w:tcPr>
          <w:p w14:paraId="1E5F3E9A" w14:textId="77777777" w:rsidR="002467F1" w:rsidRPr="002467F1" w:rsidRDefault="002467F1" w:rsidP="002467F1">
            <w:pPr>
              <w:spacing w:after="0" w:line="240" w:lineRule="auto"/>
              <w:rPr>
                <w:rFonts w:ascii="Times New Roman" w:eastAsia="游ゴシック" w:hAnsi="Times New Roman" w:cs="Times New Roman"/>
                <w:color w:val="000000"/>
                <w:lang w:val="en-US" w:eastAsia="ja-JP"/>
              </w:rPr>
            </w:pPr>
            <w:r w:rsidRPr="002467F1">
              <w:rPr>
                <w:rFonts w:ascii="Times New Roman" w:eastAsia="游ゴシック" w:hAnsi="Times New Roman" w:cs="Times New Roman"/>
                <w:color w:val="000000"/>
                <w:lang w:val="en-US" w:eastAsia="ja-JP"/>
              </w:rPr>
              <w:t xml:space="preserve">Abbreviations: </w:t>
            </w:r>
            <w:proofErr w:type="spellStart"/>
            <w:r w:rsidRPr="002467F1">
              <w:rPr>
                <w:rFonts w:ascii="Times New Roman" w:eastAsia="游ゴシック" w:hAnsi="Times New Roman" w:cs="Times New Roman"/>
                <w:color w:val="000000"/>
                <w:lang w:val="en-US" w:eastAsia="ja-JP"/>
              </w:rPr>
              <w:t>hsa</w:t>
            </w:r>
            <w:proofErr w:type="spellEnd"/>
            <w:r w:rsidRPr="002467F1">
              <w:rPr>
                <w:rFonts w:ascii="Times New Roman" w:eastAsia="游ゴシック" w:hAnsi="Times New Roman" w:cs="Times New Roman"/>
                <w:color w:val="000000"/>
                <w:lang w:val="en-US" w:eastAsia="ja-JP"/>
              </w:rPr>
              <w:t xml:space="preserve">, Homo sapiens; miRNA, microRNA. </w:t>
            </w:r>
            <w:r w:rsidRPr="002467F1">
              <w:rPr>
                <w:rFonts w:ascii="Times New Roman" w:eastAsia="游ゴシック" w:hAnsi="Times New Roman" w:cs="Times New Roman"/>
                <w:color w:val="000000"/>
                <w:lang w:val="en-US" w:eastAsia="ja-JP"/>
              </w:rPr>
              <w:br/>
              <w:t xml:space="preserve">Note: TaqMan is a registered trademark of </w:t>
            </w:r>
            <w:proofErr w:type="spellStart"/>
            <w:r w:rsidRPr="002467F1">
              <w:rPr>
                <w:rFonts w:ascii="Times New Roman" w:eastAsia="游ゴシック" w:hAnsi="Times New Roman" w:cs="Times New Roman"/>
                <w:color w:val="000000"/>
                <w:lang w:val="en-US" w:eastAsia="ja-JP"/>
              </w:rPr>
              <w:t>Thermo</w:t>
            </w:r>
            <w:proofErr w:type="spellEnd"/>
            <w:r w:rsidRPr="002467F1">
              <w:rPr>
                <w:rFonts w:ascii="Times New Roman" w:eastAsia="游ゴシック" w:hAnsi="Times New Roman" w:cs="Times New Roman"/>
                <w:color w:val="000000"/>
                <w:lang w:val="en-US" w:eastAsia="ja-JP"/>
              </w:rPr>
              <w:t xml:space="preserve"> Fisher Scientific.</w:t>
            </w:r>
          </w:p>
        </w:tc>
      </w:tr>
    </w:tbl>
    <w:p w14:paraId="56542D64" w14:textId="13D945EF" w:rsidR="000A7A5A" w:rsidRDefault="000A7A5A" w:rsidP="007A36A5">
      <w:pPr>
        <w:spacing w:line="480" w:lineRule="auto"/>
        <w:rPr>
          <w:rFonts w:ascii="Times New Roman" w:eastAsia="Times New Roman" w:hAnsi="Times New Roman" w:cs="Times New Roman"/>
          <w:color w:val="000000"/>
          <w:sz w:val="20"/>
          <w:lang w:val="en-GB"/>
        </w:rPr>
      </w:pPr>
    </w:p>
    <w:p w14:paraId="15DCDAF4" w14:textId="4EB34CA3" w:rsidR="00B4107D" w:rsidRPr="00310E6A" w:rsidRDefault="00B4107D" w:rsidP="002467F1">
      <w:pPr>
        <w:rPr>
          <w:rFonts w:ascii="Times New Roman" w:hAnsi="Times New Roman" w:cs="Times New Roman"/>
          <w:color w:val="000000"/>
          <w:sz w:val="20"/>
          <w:lang w:val="en-GB" w:eastAsia="ja-JP"/>
        </w:rPr>
      </w:pPr>
    </w:p>
    <w:sectPr w:rsidR="00B4107D" w:rsidRPr="00310E6A" w:rsidSect="002467F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9C7BC" w14:textId="77777777" w:rsidR="00E77195" w:rsidRDefault="00E77195" w:rsidP="00BE3BF6">
      <w:pPr>
        <w:spacing w:after="0" w:line="240" w:lineRule="auto"/>
      </w:pPr>
      <w:r>
        <w:separator/>
      </w:r>
    </w:p>
  </w:endnote>
  <w:endnote w:type="continuationSeparator" w:id="0">
    <w:p w14:paraId="46546399" w14:textId="77777777" w:rsidR="00E77195" w:rsidRDefault="00E77195" w:rsidP="00BE3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60247" w14:textId="77777777" w:rsidR="00E77195" w:rsidRDefault="00E77195" w:rsidP="00BE3BF6">
      <w:pPr>
        <w:spacing w:after="0" w:line="240" w:lineRule="auto"/>
      </w:pPr>
      <w:r>
        <w:separator/>
      </w:r>
    </w:p>
  </w:footnote>
  <w:footnote w:type="continuationSeparator" w:id="0">
    <w:p w14:paraId="1F70CCF2" w14:textId="77777777" w:rsidR="00E77195" w:rsidRDefault="00E77195" w:rsidP="00BE3B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A5"/>
    <w:rsid w:val="000A7A5A"/>
    <w:rsid w:val="00130CBB"/>
    <w:rsid w:val="002467F1"/>
    <w:rsid w:val="00310E6A"/>
    <w:rsid w:val="003B3C3A"/>
    <w:rsid w:val="003D3B0B"/>
    <w:rsid w:val="004C50A3"/>
    <w:rsid w:val="0066115F"/>
    <w:rsid w:val="007A36A5"/>
    <w:rsid w:val="008366A6"/>
    <w:rsid w:val="008D1EE9"/>
    <w:rsid w:val="0094028D"/>
    <w:rsid w:val="00945C8B"/>
    <w:rsid w:val="009553DD"/>
    <w:rsid w:val="0097365D"/>
    <w:rsid w:val="00992969"/>
    <w:rsid w:val="009A1C54"/>
    <w:rsid w:val="00A15F38"/>
    <w:rsid w:val="00A74666"/>
    <w:rsid w:val="00AA5BD9"/>
    <w:rsid w:val="00B024B2"/>
    <w:rsid w:val="00B4107D"/>
    <w:rsid w:val="00B511FE"/>
    <w:rsid w:val="00B53FCC"/>
    <w:rsid w:val="00BE3BF6"/>
    <w:rsid w:val="00D31AB4"/>
    <w:rsid w:val="00D5679D"/>
    <w:rsid w:val="00D84A3F"/>
    <w:rsid w:val="00DC4BE9"/>
    <w:rsid w:val="00E04BAD"/>
    <w:rsid w:val="00E17FE1"/>
    <w:rsid w:val="00E53E57"/>
    <w:rsid w:val="00E719F2"/>
    <w:rsid w:val="00E77195"/>
    <w:rsid w:val="00EE004C"/>
    <w:rsid w:val="00F06AA7"/>
    <w:rsid w:val="00FE68A2"/>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C35AAA"/>
  <w14:defaultImageDpi w14:val="32767"/>
  <w15:docId w15:val="{AB30FB78-7F03-4FE6-985A-79000F23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36A5"/>
    <w:pPr>
      <w:spacing w:after="0" w:line="240" w:lineRule="auto"/>
    </w:pPr>
    <w:rPr>
      <w:rFonts w:ascii="Tahoma" w:hAnsi="Tahoma" w:cs="Tahoma"/>
      <w:sz w:val="16"/>
      <w:szCs w:val="16"/>
    </w:rPr>
  </w:style>
  <w:style w:type="character" w:customStyle="1" w:styleId="a4">
    <w:name w:val="吹き出し (文字)"/>
    <w:basedOn w:val="a0"/>
    <w:link w:val="a3"/>
    <w:uiPriority w:val="99"/>
    <w:semiHidden/>
    <w:rsid w:val="007A36A5"/>
    <w:rPr>
      <w:rFonts w:ascii="Tahoma" w:hAnsi="Tahoma" w:cs="Tahoma"/>
      <w:sz w:val="16"/>
      <w:szCs w:val="16"/>
    </w:rPr>
  </w:style>
  <w:style w:type="character" w:styleId="a5">
    <w:name w:val="annotation reference"/>
    <w:basedOn w:val="a0"/>
    <w:uiPriority w:val="99"/>
    <w:semiHidden/>
    <w:unhideWhenUsed/>
    <w:rsid w:val="007A36A5"/>
    <w:rPr>
      <w:sz w:val="16"/>
      <w:szCs w:val="16"/>
    </w:rPr>
  </w:style>
  <w:style w:type="paragraph" w:styleId="a6">
    <w:name w:val="annotation text"/>
    <w:basedOn w:val="a"/>
    <w:link w:val="a7"/>
    <w:uiPriority w:val="99"/>
    <w:semiHidden/>
    <w:unhideWhenUsed/>
    <w:rsid w:val="007A36A5"/>
    <w:pPr>
      <w:spacing w:line="240" w:lineRule="auto"/>
    </w:pPr>
    <w:rPr>
      <w:sz w:val="20"/>
      <w:szCs w:val="20"/>
    </w:rPr>
  </w:style>
  <w:style w:type="character" w:customStyle="1" w:styleId="a7">
    <w:name w:val="コメント文字列 (文字)"/>
    <w:basedOn w:val="a0"/>
    <w:link w:val="a6"/>
    <w:uiPriority w:val="99"/>
    <w:semiHidden/>
    <w:rsid w:val="007A36A5"/>
    <w:rPr>
      <w:sz w:val="20"/>
      <w:szCs w:val="20"/>
    </w:rPr>
  </w:style>
  <w:style w:type="paragraph" w:styleId="a8">
    <w:name w:val="annotation subject"/>
    <w:basedOn w:val="a6"/>
    <w:next w:val="a6"/>
    <w:link w:val="a9"/>
    <w:uiPriority w:val="99"/>
    <w:semiHidden/>
    <w:unhideWhenUsed/>
    <w:rsid w:val="007A36A5"/>
    <w:rPr>
      <w:b/>
      <w:bCs/>
    </w:rPr>
  </w:style>
  <w:style w:type="character" w:customStyle="1" w:styleId="a9">
    <w:name w:val="コメント内容 (文字)"/>
    <w:basedOn w:val="a7"/>
    <w:link w:val="a8"/>
    <w:uiPriority w:val="99"/>
    <w:semiHidden/>
    <w:rsid w:val="007A36A5"/>
    <w:rPr>
      <w:b/>
      <w:bCs/>
      <w:sz w:val="20"/>
      <w:szCs w:val="20"/>
    </w:rPr>
  </w:style>
  <w:style w:type="paragraph" w:styleId="aa">
    <w:name w:val="Revision"/>
    <w:hidden/>
    <w:uiPriority w:val="99"/>
    <w:semiHidden/>
    <w:rsid w:val="00E719F2"/>
    <w:pPr>
      <w:spacing w:after="0" w:line="240" w:lineRule="auto"/>
    </w:pPr>
  </w:style>
  <w:style w:type="paragraph" w:styleId="ab">
    <w:name w:val="header"/>
    <w:basedOn w:val="a"/>
    <w:link w:val="ac"/>
    <w:uiPriority w:val="99"/>
    <w:unhideWhenUsed/>
    <w:rsid w:val="00BE3BF6"/>
    <w:pPr>
      <w:tabs>
        <w:tab w:val="center" w:pos="4252"/>
        <w:tab w:val="right" w:pos="8504"/>
      </w:tabs>
      <w:snapToGrid w:val="0"/>
    </w:pPr>
  </w:style>
  <w:style w:type="character" w:customStyle="1" w:styleId="ac">
    <w:name w:val="ヘッダー (文字)"/>
    <w:basedOn w:val="a0"/>
    <w:link w:val="ab"/>
    <w:uiPriority w:val="99"/>
    <w:rsid w:val="00BE3BF6"/>
  </w:style>
  <w:style w:type="paragraph" w:styleId="ad">
    <w:name w:val="footer"/>
    <w:basedOn w:val="a"/>
    <w:link w:val="ae"/>
    <w:uiPriority w:val="99"/>
    <w:unhideWhenUsed/>
    <w:rsid w:val="00BE3BF6"/>
    <w:pPr>
      <w:tabs>
        <w:tab w:val="center" w:pos="4252"/>
        <w:tab w:val="right" w:pos="8504"/>
      </w:tabs>
      <w:snapToGrid w:val="0"/>
    </w:pPr>
  </w:style>
  <w:style w:type="character" w:customStyle="1" w:styleId="ae">
    <w:name w:val="フッター (文字)"/>
    <w:basedOn w:val="a0"/>
    <w:link w:val="ad"/>
    <w:uiPriority w:val="99"/>
    <w:rsid w:val="00BE3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221</Words>
  <Characters>1262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清水祐太朗</dc:creator>
  <cp:lastModifiedBy>祐太朗 清水</cp:lastModifiedBy>
  <cp:revision>20</cp:revision>
  <cp:lastPrinted>2026-07-23T06:08:00Z</cp:lastPrinted>
  <dcterms:created xsi:type="dcterms:W3CDTF">2026-07-09T08:36:00Z</dcterms:created>
  <dcterms:modified xsi:type="dcterms:W3CDTF">2026-07-24T12:45:00Z</dcterms:modified>
</cp:coreProperties>
</file>