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5B61C" w14:textId="77777777" w:rsidR="00200022" w:rsidRDefault="00200022" w:rsidP="00200022">
      <w:p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Table 11 offers a comparison matrix summarizing legal frameworks and criminal justice systems. </w:t>
      </w:r>
    </w:p>
    <w:p w14:paraId="1A083062" w14:textId="77777777" w:rsidR="00200022" w:rsidRPr="001707D6" w:rsidRDefault="00200022" w:rsidP="00200022">
      <w:pPr>
        <w:spacing w:line="360" w:lineRule="auto"/>
        <w:jc w:val="both"/>
        <w:rPr>
          <w:rFonts w:asciiTheme="majorHAnsi" w:hAnsiTheme="majorHAnsi" w:cstheme="majorHAnsi"/>
          <w:sz w:val="20"/>
          <w:szCs w:val="20"/>
        </w:rPr>
      </w:pPr>
      <w:bookmarkStart w:id="0" w:name="_Hlk221917151"/>
    </w:p>
    <w:tbl>
      <w:tblPr>
        <w:tblStyle w:val="TableGrid"/>
        <w:tblpPr w:leftFromText="180" w:rightFromText="180" w:vertAnchor="page" w:horzAnchor="margin" w:tblpXSpec="center" w:tblpY="1"/>
        <w:tblW w:w="10588" w:type="dxa"/>
        <w:tblLayout w:type="fixed"/>
        <w:tblLook w:val="04A0" w:firstRow="1" w:lastRow="0" w:firstColumn="1" w:lastColumn="0" w:noHBand="0" w:noVBand="1"/>
      </w:tblPr>
      <w:tblGrid>
        <w:gridCol w:w="1075"/>
        <w:gridCol w:w="1769"/>
        <w:gridCol w:w="1858"/>
        <w:gridCol w:w="1604"/>
        <w:gridCol w:w="1852"/>
        <w:gridCol w:w="2430"/>
      </w:tblGrid>
      <w:tr w:rsidR="00200022" w:rsidRPr="003A4259" w14:paraId="6A46F71D" w14:textId="77777777" w:rsidTr="00DD764E">
        <w:trPr>
          <w:trHeight w:val="800"/>
        </w:trPr>
        <w:tc>
          <w:tcPr>
            <w:tcW w:w="1075" w:type="dxa"/>
            <w:hideMark/>
          </w:tcPr>
          <w:p w14:paraId="4734DBC5" w14:textId="77777777" w:rsidR="00200022" w:rsidRPr="00233970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b/>
                <w:bCs/>
                <w:color w:val="auto"/>
                <w:sz w:val="20"/>
                <w:szCs w:val="20"/>
              </w:rPr>
            </w:pPr>
            <w:r w:rsidRPr="00233970">
              <w:rPr>
                <w:rFonts w:cstheme="majorHAnsi"/>
                <w:b/>
                <w:bCs/>
                <w:color w:val="auto"/>
                <w:sz w:val="20"/>
                <w:szCs w:val="20"/>
              </w:rPr>
              <w:lastRenderedPageBreak/>
              <w:t>Country</w:t>
            </w:r>
          </w:p>
        </w:tc>
        <w:tc>
          <w:tcPr>
            <w:tcW w:w="1769" w:type="dxa"/>
            <w:hideMark/>
          </w:tcPr>
          <w:p w14:paraId="51DFE8EF" w14:textId="77777777" w:rsidR="00200022" w:rsidRPr="00233970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b/>
                <w:bCs/>
                <w:color w:val="auto"/>
                <w:sz w:val="20"/>
                <w:szCs w:val="20"/>
              </w:rPr>
            </w:pPr>
            <w:r w:rsidRPr="00233970">
              <w:rPr>
                <w:rFonts w:cstheme="majorHAnsi"/>
                <w:b/>
                <w:bCs/>
                <w:color w:val="auto"/>
                <w:sz w:val="20"/>
                <w:szCs w:val="20"/>
              </w:rPr>
              <w:t>Legal Framework</w:t>
            </w:r>
          </w:p>
        </w:tc>
        <w:tc>
          <w:tcPr>
            <w:tcW w:w="1858" w:type="dxa"/>
            <w:hideMark/>
          </w:tcPr>
          <w:p w14:paraId="15F806E6" w14:textId="77777777" w:rsidR="00200022" w:rsidRPr="00233970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b/>
                <w:bCs/>
                <w:color w:val="auto"/>
                <w:sz w:val="20"/>
                <w:szCs w:val="20"/>
              </w:rPr>
            </w:pPr>
            <w:r w:rsidRPr="00233970">
              <w:rPr>
                <w:rFonts w:cstheme="majorHAnsi"/>
                <w:b/>
                <w:bCs/>
                <w:color w:val="auto"/>
                <w:sz w:val="20"/>
                <w:szCs w:val="20"/>
              </w:rPr>
              <w:t>Judicial Structure and Oversight</w:t>
            </w:r>
          </w:p>
        </w:tc>
        <w:tc>
          <w:tcPr>
            <w:tcW w:w="1604" w:type="dxa"/>
            <w:tcBorders>
              <w:bottom w:val="single" w:sz="4" w:space="0" w:color="auto"/>
            </w:tcBorders>
            <w:hideMark/>
          </w:tcPr>
          <w:p w14:paraId="672D5282" w14:textId="77777777" w:rsidR="00200022" w:rsidRPr="00233970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b/>
                <w:bCs/>
                <w:color w:val="auto"/>
                <w:sz w:val="20"/>
                <w:szCs w:val="20"/>
              </w:rPr>
            </w:pPr>
            <w:r w:rsidRPr="00233970">
              <w:rPr>
                <w:rFonts w:cstheme="majorHAnsi"/>
                <w:b/>
                <w:bCs/>
                <w:color w:val="auto"/>
                <w:sz w:val="20"/>
                <w:szCs w:val="20"/>
              </w:rPr>
              <w:t>Law Enforcement &amp; Policing</w:t>
            </w:r>
          </w:p>
        </w:tc>
        <w:tc>
          <w:tcPr>
            <w:tcW w:w="1852" w:type="dxa"/>
          </w:tcPr>
          <w:p w14:paraId="50C344D4" w14:textId="77777777" w:rsidR="00200022" w:rsidRPr="00233970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b/>
                <w:bCs/>
                <w:color w:val="auto"/>
                <w:sz w:val="20"/>
                <w:szCs w:val="20"/>
              </w:rPr>
            </w:pPr>
            <w:r w:rsidRPr="00233970">
              <w:rPr>
                <w:rFonts w:cstheme="majorHAnsi"/>
                <w:b/>
                <w:bCs/>
                <w:color w:val="auto"/>
                <w:sz w:val="20"/>
                <w:szCs w:val="20"/>
              </w:rPr>
              <w:t>Correctional System</w:t>
            </w:r>
          </w:p>
        </w:tc>
        <w:tc>
          <w:tcPr>
            <w:tcW w:w="2430" w:type="dxa"/>
          </w:tcPr>
          <w:p w14:paraId="6E345FAA" w14:textId="77777777" w:rsidR="00200022" w:rsidRPr="00233970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b/>
                <w:bCs/>
                <w:color w:val="auto"/>
                <w:sz w:val="20"/>
                <w:szCs w:val="20"/>
              </w:rPr>
            </w:pPr>
            <w:r w:rsidRPr="00233970">
              <w:rPr>
                <w:rFonts w:cstheme="majorHAnsi"/>
                <w:b/>
                <w:bCs/>
                <w:color w:val="auto"/>
                <w:sz w:val="20"/>
                <w:szCs w:val="20"/>
              </w:rPr>
              <w:t>Key Challenges / Notes</w:t>
            </w:r>
          </w:p>
        </w:tc>
      </w:tr>
      <w:tr w:rsidR="00200022" w:rsidRPr="003A4259" w14:paraId="446713E7" w14:textId="77777777" w:rsidTr="00DD764E">
        <w:trPr>
          <w:trHeight w:val="3320"/>
        </w:trPr>
        <w:tc>
          <w:tcPr>
            <w:tcW w:w="1075" w:type="dxa"/>
            <w:hideMark/>
          </w:tcPr>
          <w:p w14:paraId="3F830534" w14:textId="77777777" w:rsidR="00200022" w:rsidRPr="00233970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b/>
                <w:bCs/>
                <w:color w:val="auto"/>
                <w:sz w:val="20"/>
                <w:szCs w:val="20"/>
              </w:rPr>
            </w:pPr>
            <w:r w:rsidRPr="00233970">
              <w:rPr>
                <w:rFonts w:cstheme="majorHAnsi"/>
                <w:b/>
                <w:bCs/>
                <w:color w:val="auto"/>
                <w:sz w:val="20"/>
                <w:szCs w:val="20"/>
              </w:rPr>
              <w:t>Ethiopia</w:t>
            </w:r>
          </w:p>
        </w:tc>
        <w:tc>
          <w:tcPr>
            <w:tcW w:w="1769" w:type="dxa"/>
            <w:hideMark/>
          </w:tcPr>
          <w:p w14:paraId="206B646C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Mixed legal system: Civil law-based with customary and Islamic law influences; Constitution guarantees human rights; Criminal Code (1957, amended 2005)</w:t>
            </w:r>
          </w:p>
        </w:tc>
        <w:tc>
          <w:tcPr>
            <w:tcW w:w="1858" w:type="dxa"/>
            <w:hideMark/>
          </w:tcPr>
          <w:p w14:paraId="52F8567B" w14:textId="77777777" w:rsidR="00200022" w:rsidRDefault="00200022" w:rsidP="00DD764E">
            <w:pPr>
              <w:spacing w:line="360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cstheme="majorHAnsi"/>
                <w:sz w:val="20"/>
                <w:szCs w:val="20"/>
              </w:rPr>
              <w:t>Federal Supreme Court, Regional High Courts; emerging specialized commercial and administrative courts; independent judiciary in principle.</w:t>
            </w:r>
          </w:p>
          <w:p w14:paraId="1C1A7EF5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</w:p>
        </w:tc>
        <w:tc>
          <w:tcPr>
            <w:tcW w:w="1604" w:type="dxa"/>
            <w:tcBorders>
              <w:bottom w:val="single" w:sz="4" w:space="0" w:color="auto"/>
            </w:tcBorders>
            <w:hideMark/>
          </w:tcPr>
          <w:p w14:paraId="3F85416A" w14:textId="77777777" w:rsidR="00200022" w:rsidRPr="001707D6" w:rsidRDefault="00200022" w:rsidP="00DD764E">
            <w:pPr>
              <w:pStyle w:val="Heading2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Federal Police Commission; regional police forces; emerging </w:t>
            </w:r>
            <w:r w:rsidRPr="00233970">
              <w:rPr>
                <w:rFonts w:cstheme="majorHAnsi"/>
                <w:color w:val="auto"/>
                <w:sz w:val="20"/>
                <w:szCs w:val="20"/>
              </w:rPr>
              <w:t>specialized</w:t>
            </w:r>
            <w:r w:rsidRPr="003A4259">
              <w:rPr>
                <w:rFonts w:cstheme="majorHAnsi"/>
                <w:color w:val="auto"/>
                <w:sz w:val="20"/>
                <w:szCs w:val="20"/>
              </w:rPr>
              <w:t> financial crime units</w:t>
            </w:r>
          </w:p>
        </w:tc>
        <w:tc>
          <w:tcPr>
            <w:tcW w:w="1852" w:type="dxa"/>
          </w:tcPr>
          <w:p w14:paraId="762B5320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Federal and regional penitentiaries; recent reforms emphasize rehabilitation; WG reviewing prison and evidence laws</w:t>
            </w:r>
          </w:p>
        </w:tc>
        <w:tc>
          <w:tcPr>
            <w:tcW w:w="2430" w:type="dxa"/>
          </w:tcPr>
          <w:p w14:paraId="7720E7BC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Strong reform momentum under AC and Criminal Justice WG; challenges include resource limitations, uneven implementation, and integrating human rights into practice; sophisticated transnational finance crimes are being addressed gradually</w:t>
            </w:r>
          </w:p>
        </w:tc>
      </w:tr>
      <w:tr w:rsidR="00200022" w:rsidRPr="003A4259" w14:paraId="2D3AEB30" w14:textId="77777777" w:rsidTr="00DD764E">
        <w:trPr>
          <w:trHeight w:val="2393"/>
        </w:trPr>
        <w:tc>
          <w:tcPr>
            <w:tcW w:w="1075" w:type="dxa"/>
            <w:hideMark/>
          </w:tcPr>
          <w:p w14:paraId="41736174" w14:textId="77777777" w:rsidR="00200022" w:rsidRPr="00233970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b/>
                <w:bCs/>
                <w:color w:val="auto"/>
                <w:sz w:val="20"/>
                <w:szCs w:val="20"/>
              </w:rPr>
            </w:pPr>
            <w:r w:rsidRPr="00233970">
              <w:rPr>
                <w:rFonts w:cstheme="majorHAnsi"/>
                <w:b/>
                <w:bCs/>
                <w:color w:val="auto"/>
                <w:sz w:val="20"/>
                <w:szCs w:val="20"/>
              </w:rPr>
              <w:t>Somalia</w:t>
            </w:r>
          </w:p>
        </w:tc>
        <w:tc>
          <w:tcPr>
            <w:tcW w:w="1769" w:type="dxa"/>
            <w:hideMark/>
          </w:tcPr>
          <w:p w14:paraId="026E857F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Plural system: Civil, customary (Xeer), and Sharia law; transitional federal legal instruments</w:t>
            </w:r>
          </w:p>
        </w:tc>
        <w:tc>
          <w:tcPr>
            <w:tcW w:w="1858" w:type="dxa"/>
            <w:hideMark/>
          </w:tcPr>
          <w:p w14:paraId="65041142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Supreme Court, federal member state courts, and weak enforcement of national rulings</w:t>
            </w:r>
          </w:p>
        </w:tc>
        <w:tc>
          <w:tcPr>
            <w:tcW w:w="1604" w:type="dxa"/>
            <w:tcBorders>
              <w:top w:val="single" w:sz="4" w:space="0" w:color="auto"/>
            </w:tcBorders>
            <w:hideMark/>
          </w:tcPr>
          <w:p w14:paraId="6816ECB0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Ministry of Internal Security; police predominantly localized; limited capacity for financial crimes</w:t>
            </w:r>
          </w:p>
        </w:tc>
        <w:tc>
          <w:tcPr>
            <w:tcW w:w="1852" w:type="dxa"/>
          </w:tcPr>
          <w:p w14:paraId="5283195E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Prisons vary by region; rehabilitative programming is minimal; corrections are often informal.</w:t>
            </w:r>
          </w:p>
        </w:tc>
        <w:tc>
          <w:tcPr>
            <w:tcW w:w="2430" w:type="dxa"/>
          </w:tcPr>
          <w:p w14:paraId="0A71078A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Fragile state structures; chronic instability; weak rule of law; illicit finance networks exploit jurisdictional gaps; minimal oversight on transnational money flows</w:t>
            </w:r>
          </w:p>
        </w:tc>
      </w:tr>
      <w:tr w:rsidR="00200022" w:rsidRPr="003A4259" w14:paraId="769FE4A9" w14:textId="77777777" w:rsidTr="00DD764E">
        <w:trPr>
          <w:trHeight w:val="2911"/>
        </w:trPr>
        <w:tc>
          <w:tcPr>
            <w:tcW w:w="1075" w:type="dxa"/>
            <w:hideMark/>
          </w:tcPr>
          <w:p w14:paraId="485D50CD" w14:textId="77777777" w:rsidR="00200022" w:rsidRPr="00233970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b/>
                <w:bCs/>
                <w:color w:val="auto"/>
                <w:sz w:val="20"/>
                <w:szCs w:val="20"/>
              </w:rPr>
            </w:pPr>
            <w:r w:rsidRPr="00233970">
              <w:rPr>
                <w:rFonts w:cstheme="majorHAnsi"/>
                <w:b/>
                <w:bCs/>
                <w:color w:val="auto"/>
                <w:sz w:val="20"/>
                <w:szCs w:val="20"/>
              </w:rPr>
              <w:t>Eritrea</w:t>
            </w:r>
          </w:p>
        </w:tc>
        <w:tc>
          <w:tcPr>
            <w:tcW w:w="1769" w:type="dxa"/>
            <w:hideMark/>
          </w:tcPr>
          <w:p w14:paraId="3EF1A370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Civil law foundation with executive-centered influence; Constitution suspended (1997); Criminal Code codified</w:t>
            </w:r>
          </w:p>
        </w:tc>
        <w:tc>
          <w:tcPr>
            <w:tcW w:w="1858" w:type="dxa"/>
            <w:hideMark/>
          </w:tcPr>
          <w:p w14:paraId="5717C6CB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Highly centralized judiciary under executive control; limited independence; appeals processed with executive oversight</w:t>
            </w:r>
          </w:p>
        </w:tc>
        <w:tc>
          <w:tcPr>
            <w:tcW w:w="1604" w:type="dxa"/>
            <w:hideMark/>
          </w:tcPr>
          <w:p w14:paraId="4632420C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National Police under the Ministry of Interior; security apparatus tightly controlled; limited transparency</w:t>
            </w:r>
          </w:p>
        </w:tc>
        <w:tc>
          <w:tcPr>
            <w:tcW w:w="1852" w:type="dxa"/>
          </w:tcPr>
          <w:p w14:paraId="111C9A35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State-run correctional facilities; human rights concerns reported; rehabilitation is not a prominent focus</w:t>
            </w:r>
          </w:p>
        </w:tc>
        <w:tc>
          <w:tcPr>
            <w:tcW w:w="2430" w:type="dxa"/>
          </w:tcPr>
          <w:p w14:paraId="1154A08C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A highly centralized system limits transparency; corruption and opaque financial practices are challenges for monitoring illicit networks.</w:t>
            </w:r>
          </w:p>
        </w:tc>
      </w:tr>
      <w:tr w:rsidR="00200022" w:rsidRPr="003A4259" w14:paraId="2F2B9803" w14:textId="77777777" w:rsidTr="00DD764E">
        <w:trPr>
          <w:trHeight w:val="2390"/>
        </w:trPr>
        <w:tc>
          <w:tcPr>
            <w:tcW w:w="1075" w:type="dxa"/>
            <w:hideMark/>
          </w:tcPr>
          <w:p w14:paraId="6F14245F" w14:textId="77777777" w:rsidR="00200022" w:rsidRPr="00233970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b/>
                <w:bCs/>
                <w:color w:val="auto"/>
                <w:sz w:val="20"/>
                <w:szCs w:val="20"/>
              </w:rPr>
            </w:pPr>
            <w:r w:rsidRPr="00233970">
              <w:rPr>
                <w:rFonts w:cstheme="majorHAnsi"/>
                <w:b/>
                <w:bCs/>
                <w:color w:val="auto"/>
                <w:sz w:val="20"/>
                <w:szCs w:val="20"/>
              </w:rPr>
              <w:t>Djibouti</w:t>
            </w:r>
          </w:p>
        </w:tc>
        <w:tc>
          <w:tcPr>
            <w:tcW w:w="1769" w:type="dxa"/>
            <w:hideMark/>
          </w:tcPr>
          <w:p w14:paraId="72C44FD0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Civil law system influenced by French law; Constitution (1992) and Penal Code</w:t>
            </w:r>
          </w:p>
        </w:tc>
        <w:tc>
          <w:tcPr>
            <w:tcW w:w="1858" w:type="dxa"/>
            <w:hideMark/>
          </w:tcPr>
          <w:p w14:paraId="7036CFC7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Supreme Court, Court of Appeal, and specialized commercial and financial courts present</w:t>
            </w:r>
          </w:p>
        </w:tc>
        <w:tc>
          <w:tcPr>
            <w:tcW w:w="1604" w:type="dxa"/>
            <w:hideMark/>
          </w:tcPr>
          <w:p w14:paraId="01CDF0D2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National Police and Gendarmerie; anti-fraud and customs enforcement units</w:t>
            </w:r>
          </w:p>
        </w:tc>
        <w:tc>
          <w:tcPr>
            <w:tcW w:w="1852" w:type="dxa"/>
          </w:tcPr>
          <w:p w14:paraId="549C4E94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Central prison system with limited rehabilitation programs</w:t>
            </w:r>
          </w:p>
        </w:tc>
        <w:tc>
          <w:tcPr>
            <w:tcW w:w="2430" w:type="dxa"/>
          </w:tcPr>
          <w:p w14:paraId="0B7F56A4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Strategic location at the Red Sea increases susceptibility to smuggling and illicit finance; small institutional capacity for complex financial crime investigations</w:t>
            </w:r>
          </w:p>
        </w:tc>
      </w:tr>
      <w:tr w:rsidR="00200022" w:rsidRPr="003A4259" w14:paraId="1A0F4F1A" w14:textId="77777777" w:rsidTr="00DD764E">
        <w:trPr>
          <w:trHeight w:val="3442"/>
        </w:trPr>
        <w:tc>
          <w:tcPr>
            <w:tcW w:w="1075" w:type="dxa"/>
            <w:hideMark/>
          </w:tcPr>
          <w:p w14:paraId="36737B0A" w14:textId="77777777" w:rsidR="00200022" w:rsidRPr="00233970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b/>
                <w:bCs/>
                <w:color w:val="auto"/>
                <w:sz w:val="20"/>
                <w:szCs w:val="20"/>
              </w:rPr>
            </w:pPr>
            <w:r w:rsidRPr="00233970">
              <w:rPr>
                <w:rFonts w:cstheme="majorHAnsi"/>
                <w:b/>
                <w:bCs/>
                <w:color w:val="auto"/>
                <w:sz w:val="20"/>
                <w:szCs w:val="20"/>
              </w:rPr>
              <w:lastRenderedPageBreak/>
              <w:t>Sudan</w:t>
            </w:r>
          </w:p>
        </w:tc>
        <w:tc>
          <w:tcPr>
            <w:tcW w:w="1769" w:type="dxa"/>
            <w:hideMark/>
          </w:tcPr>
          <w:p w14:paraId="07440135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Mixed system: Islamic law for criminal and family matters, civil law for commercial codes; Transitional Constitution 2019</w:t>
            </w:r>
          </w:p>
        </w:tc>
        <w:tc>
          <w:tcPr>
            <w:tcW w:w="1858" w:type="dxa"/>
            <w:hideMark/>
          </w:tcPr>
          <w:p w14:paraId="56EF082C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Supreme Court; Criminal Courts; specialized anti-corruption tribunals emerging; judicial independence under reform</w:t>
            </w:r>
          </w:p>
        </w:tc>
        <w:tc>
          <w:tcPr>
            <w:tcW w:w="1604" w:type="dxa"/>
            <w:hideMark/>
          </w:tcPr>
          <w:p w14:paraId="2B19697C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National Police, border security, Financial Intelligence Unit (FIU); limited forensic capabilities</w:t>
            </w:r>
          </w:p>
        </w:tc>
        <w:tc>
          <w:tcPr>
            <w:tcW w:w="1852" w:type="dxa"/>
          </w:tcPr>
          <w:p w14:paraId="08F08A4C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State-managed prisons; reforms initiated for human rights compliance; rehabilitation limited</w:t>
            </w:r>
          </w:p>
        </w:tc>
        <w:tc>
          <w:tcPr>
            <w:tcW w:w="2430" w:type="dxa"/>
          </w:tcPr>
          <w:p w14:paraId="0EF64DB2" w14:textId="77777777" w:rsidR="00200022" w:rsidRPr="003A4259" w:rsidRDefault="00200022" w:rsidP="00DD764E">
            <w:pPr>
              <w:pStyle w:val="Heading2"/>
              <w:spacing w:line="360" w:lineRule="auto"/>
              <w:jc w:val="both"/>
              <w:rPr>
                <w:rFonts w:cstheme="majorHAnsi"/>
                <w:color w:val="auto"/>
                <w:sz w:val="20"/>
                <w:szCs w:val="20"/>
              </w:rPr>
            </w:pPr>
            <w:r w:rsidRPr="003A4259">
              <w:rPr>
                <w:rFonts w:cstheme="majorHAnsi"/>
                <w:color w:val="auto"/>
                <w:sz w:val="20"/>
                <w:szCs w:val="20"/>
              </w:rPr>
              <w:t>Transitional legal environment; ongoing constitutional reforms; illicit finance and money laundering under legislated oversight, but enforcement is inconsistent; the dual legal system hinders uniform application.</w:t>
            </w:r>
          </w:p>
        </w:tc>
      </w:tr>
    </w:tbl>
    <w:bookmarkEnd w:id="0"/>
    <w:p w14:paraId="585A5D14" w14:textId="77777777" w:rsidR="00200022" w:rsidRPr="006908F4" w:rsidRDefault="00200022" w:rsidP="00200022">
      <w:pPr>
        <w:pStyle w:val="BodyText"/>
        <w:tabs>
          <w:tab w:val="left" w:pos="540"/>
        </w:tabs>
        <w:spacing w:before="120" w:after="120" w:line="360" w:lineRule="auto"/>
        <w:jc w:val="both"/>
        <w:rPr>
          <w:rFonts w:asciiTheme="majorHAnsi" w:hAnsiTheme="majorHAnsi" w:cstheme="majorHAnsi"/>
          <w:i/>
          <w:iCs/>
          <w:spacing w:val="-4"/>
        </w:rPr>
      </w:pPr>
      <w:r w:rsidRPr="003A4259">
        <w:rPr>
          <w:rFonts w:asciiTheme="majorHAnsi" w:hAnsiTheme="majorHAnsi" w:cstheme="majorHAnsi"/>
          <w:i/>
          <w:iCs/>
        </w:rPr>
        <w:t>Source:</w:t>
      </w:r>
      <w:r w:rsidRPr="003A4259">
        <w:rPr>
          <w:rFonts w:asciiTheme="majorHAnsi" w:hAnsiTheme="majorHAnsi" w:cstheme="majorHAnsi"/>
          <w:i/>
          <w:iCs/>
          <w:spacing w:val="-4"/>
        </w:rPr>
        <w:t xml:space="preserve"> Completion </w:t>
      </w:r>
      <w:r w:rsidRPr="003A4259">
        <w:rPr>
          <w:rFonts w:asciiTheme="majorHAnsi" w:hAnsiTheme="majorHAnsi" w:cstheme="majorHAnsi"/>
          <w:i/>
          <w:iCs/>
        </w:rPr>
        <w:t>Author,</w:t>
      </w:r>
      <w:r w:rsidRPr="003A4259">
        <w:rPr>
          <w:rFonts w:asciiTheme="majorHAnsi" w:hAnsiTheme="majorHAnsi" w:cstheme="majorHAnsi"/>
          <w:i/>
          <w:iCs/>
          <w:spacing w:val="-4"/>
        </w:rPr>
        <w:t>2026</w:t>
      </w:r>
    </w:p>
    <w:p w14:paraId="1BB4F4BA" w14:textId="77777777" w:rsidR="00E023F9" w:rsidRDefault="00E023F9"/>
    <w:p w14:paraId="40C2BAA5" w14:textId="77777777" w:rsidR="00200022" w:rsidRDefault="00200022"/>
    <w:p w14:paraId="7E8E317C" w14:textId="77777777" w:rsidR="00200022" w:rsidRPr="003A4259" w:rsidRDefault="00200022" w:rsidP="00200022">
      <w:pPr>
        <w:spacing w:line="360" w:lineRule="auto"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Table 13: Major Programmatic Initiatives</w:t>
      </w:r>
    </w:p>
    <w:tbl>
      <w:tblPr>
        <w:tblStyle w:val="TableGrid"/>
        <w:tblpPr w:leftFromText="180" w:rightFromText="180" w:vertAnchor="page" w:horzAnchor="margin" w:tblpXSpec="center" w:tblpY="1976"/>
        <w:tblW w:w="11510" w:type="dxa"/>
        <w:tblLayout w:type="fixed"/>
        <w:tblLook w:val="04A0" w:firstRow="1" w:lastRow="0" w:firstColumn="1" w:lastColumn="0" w:noHBand="0" w:noVBand="1"/>
      </w:tblPr>
      <w:tblGrid>
        <w:gridCol w:w="1083"/>
        <w:gridCol w:w="1878"/>
        <w:gridCol w:w="1348"/>
        <w:gridCol w:w="1528"/>
        <w:gridCol w:w="1528"/>
        <w:gridCol w:w="1618"/>
        <w:gridCol w:w="2527"/>
      </w:tblGrid>
      <w:tr w:rsidR="00200022" w:rsidRPr="006908F4" w14:paraId="01E2C1BD" w14:textId="77777777" w:rsidTr="00DD764E">
        <w:trPr>
          <w:trHeight w:val="590"/>
        </w:trPr>
        <w:tc>
          <w:tcPr>
            <w:tcW w:w="1083" w:type="dxa"/>
            <w:hideMark/>
          </w:tcPr>
          <w:p w14:paraId="300D653F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>Category</w:t>
            </w:r>
          </w:p>
        </w:tc>
        <w:tc>
          <w:tcPr>
            <w:tcW w:w="1878" w:type="dxa"/>
            <w:hideMark/>
          </w:tcPr>
          <w:p w14:paraId="0CF1FDD4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Ethiopia</w:t>
            </w:r>
          </w:p>
        </w:tc>
        <w:tc>
          <w:tcPr>
            <w:tcW w:w="1348" w:type="dxa"/>
            <w:hideMark/>
          </w:tcPr>
          <w:p w14:paraId="3AA35C9F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Somalia</w:t>
            </w:r>
          </w:p>
        </w:tc>
        <w:tc>
          <w:tcPr>
            <w:tcW w:w="1528" w:type="dxa"/>
            <w:hideMark/>
          </w:tcPr>
          <w:p w14:paraId="282518DA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Eritrea</w:t>
            </w:r>
          </w:p>
        </w:tc>
        <w:tc>
          <w:tcPr>
            <w:tcW w:w="1528" w:type="dxa"/>
          </w:tcPr>
          <w:p w14:paraId="32373BE9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Djibouti</w:t>
            </w:r>
          </w:p>
        </w:tc>
        <w:tc>
          <w:tcPr>
            <w:tcW w:w="1618" w:type="dxa"/>
          </w:tcPr>
          <w:p w14:paraId="0C0235E2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Sudan</w:t>
            </w:r>
          </w:p>
        </w:tc>
        <w:tc>
          <w:tcPr>
            <w:tcW w:w="2527" w:type="dxa"/>
          </w:tcPr>
          <w:p w14:paraId="4BD9E994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Regional/Multilateral Initiatives</w:t>
            </w:r>
          </w:p>
        </w:tc>
      </w:tr>
      <w:tr w:rsidR="00200022" w:rsidRPr="006908F4" w14:paraId="55B7508A" w14:textId="77777777" w:rsidTr="00DD764E">
        <w:trPr>
          <w:trHeight w:val="1315"/>
        </w:trPr>
        <w:tc>
          <w:tcPr>
            <w:tcW w:w="1083" w:type="dxa"/>
            <w:hideMark/>
          </w:tcPr>
          <w:p w14:paraId="732F2382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Legal Frameworks</w:t>
            </w:r>
          </w:p>
        </w:tc>
        <w:tc>
          <w:tcPr>
            <w:tcW w:w="1878" w:type="dxa"/>
            <w:hideMark/>
          </w:tcPr>
          <w:p w14:paraId="727226BD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Comprehensive anti-TiP law; ratified UN Palermo Protocol; alignment with AU standards.</w:t>
            </w:r>
          </w:p>
        </w:tc>
        <w:tc>
          <w:tcPr>
            <w:tcW w:w="1348" w:type="dxa"/>
            <w:hideMark/>
          </w:tcPr>
          <w:p w14:paraId="204522D0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Draft legislation varies; national enforcement is limited; it relies on regional frameworks.</w:t>
            </w:r>
          </w:p>
        </w:tc>
        <w:tc>
          <w:tcPr>
            <w:tcW w:w="1528" w:type="dxa"/>
            <w:hideMark/>
          </w:tcPr>
          <w:p w14:paraId="17554CAC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National anti-TiP laws exist; limited enforcement due to state secrecy and restricted civil society input.</w:t>
            </w:r>
          </w:p>
        </w:tc>
        <w:tc>
          <w:tcPr>
            <w:tcW w:w="1528" w:type="dxa"/>
          </w:tcPr>
          <w:p w14:paraId="3E6B246C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National legislation aligned with UN guidance; it facilitates shelters for victims.</w:t>
            </w:r>
          </w:p>
        </w:tc>
        <w:tc>
          <w:tcPr>
            <w:tcW w:w="1618" w:type="dxa"/>
          </w:tcPr>
          <w:p w14:paraId="2F611715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Anti-TiP and SoM laws exist; capacity constraints hinder implementation.</w:t>
            </w:r>
          </w:p>
        </w:tc>
        <w:tc>
          <w:tcPr>
            <w:tcW w:w="2527" w:type="dxa"/>
          </w:tcPr>
          <w:p w14:paraId="3ABF3DEC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African Union-Horn of Africa Initiative (AU-HOAI); IGAD protocols; Palermo Protocol; Rome Declaration/Khartoum Process.</w:t>
            </w:r>
          </w:p>
        </w:tc>
      </w:tr>
      <w:tr w:rsidR="00200022" w:rsidRPr="006908F4" w14:paraId="1F55D040" w14:textId="77777777" w:rsidTr="00DD764E">
        <w:trPr>
          <w:trHeight w:val="1683"/>
        </w:trPr>
        <w:tc>
          <w:tcPr>
            <w:tcW w:w="1083" w:type="dxa"/>
            <w:hideMark/>
          </w:tcPr>
          <w:p w14:paraId="749994BF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Enforcement Agencies</w:t>
            </w:r>
          </w:p>
        </w:tc>
        <w:tc>
          <w:tcPr>
            <w:tcW w:w="1878" w:type="dxa"/>
            <w:hideMark/>
          </w:tcPr>
          <w:p w14:paraId="42EC62B1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Police units with AMMI/BMM-trained officers; Directorate of International Cooperation; Regional &amp; federal task forces.</w:t>
            </w:r>
          </w:p>
        </w:tc>
        <w:tc>
          <w:tcPr>
            <w:tcW w:w="1348" w:type="dxa"/>
            <w:hideMark/>
          </w:tcPr>
          <w:p w14:paraId="0192EB29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Local police and clan security mechanisms; limited central oversight.</w:t>
            </w:r>
          </w:p>
        </w:tc>
        <w:tc>
          <w:tcPr>
            <w:tcW w:w="1528" w:type="dxa"/>
            <w:hideMark/>
          </w:tcPr>
          <w:p w14:paraId="7C54229D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Limited state policing; informal networks often dominate enforcement.</w:t>
            </w:r>
          </w:p>
        </w:tc>
        <w:tc>
          <w:tcPr>
            <w:tcW w:w="1528" w:type="dxa"/>
          </w:tcPr>
          <w:p w14:paraId="42C0CD02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Police, border control units, and specialized shelters.</w:t>
            </w:r>
          </w:p>
        </w:tc>
        <w:tc>
          <w:tcPr>
            <w:tcW w:w="1618" w:type="dxa"/>
          </w:tcPr>
          <w:p w14:paraId="7985A15C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Sudanese police and border patrol often support cross-border operations with varying coordination with partners.</w:t>
            </w:r>
          </w:p>
        </w:tc>
        <w:tc>
          <w:tcPr>
            <w:tcW w:w="2527" w:type="dxa"/>
          </w:tcPr>
          <w:p w14:paraId="168C4C3F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INTERPOL liaison; RECs frameworks (IGAD, EAC, COMESA); UNODC support; ESAAMLG for financial crimes; joint law enforcement operations.</w:t>
            </w:r>
          </w:p>
        </w:tc>
      </w:tr>
      <w:tr w:rsidR="00200022" w:rsidRPr="006908F4" w14:paraId="4D8A840D" w14:textId="77777777" w:rsidTr="00DD764E">
        <w:trPr>
          <w:trHeight w:val="1683"/>
        </w:trPr>
        <w:tc>
          <w:tcPr>
            <w:tcW w:w="1083" w:type="dxa"/>
            <w:hideMark/>
          </w:tcPr>
          <w:p w14:paraId="3A22E60A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Special Programs / Projects</w:t>
            </w:r>
          </w:p>
        </w:tc>
        <w:tc>
          <w:tcPr>
            <w:tcW w:w="1878" w:type="dxa"/>
            <w:hideMark/>
          </w:tcPr>
          <w:p w14:paraId="67DFEFB6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AMMI (Addressing Mixed Migration Flows), Better Migration Management (BMM); 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victim-centered</w:t>
            </w: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 identification and care; anti-forgery and financial investigation training.</w:t>
            </w:r>
          </w:p>
        </w:tc>
        <w:tc>
          <w:tcPr>
            <w:tcW w:w="1348" w:type="dxa"/>
            <w:hideMark/>
          </w:tcPr>
          <w:p w14:paraId="14FC1068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Limited formal programs; relies on NGO and international support.</w:t>
            </w:r>
          </w:p>
        </w:tc>
        <w:tc>
          <w:tcPr>
            <w:tcW w:w="1528" w:type="dxa"/>
            <w:hideMark/>
          </w:tcPr>
          <w:p w14:paraId="250E1FDA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Minimal programs; focus on secondary transit monitoring in Eritrean shelters.</w:t>
            </w:r>
          </w:p>
        </w:tc>
        <w:tc>
          <w:tcPr>
            <w:tcW w:w="1528" w:type="dxa"/>
          </w:tcPr>
          <w:p w14:paraId="29E8BF45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Shelters for sex and labor trafficking survivors; reintegration programs; psychological support.</w:t>
            </w:r>
          </w:p>
        </w:tc>
        <w:tc>
          <w:tcPr>
            <w:tcW w:w="1618" w:type="dxa"/>
          </w:tcPr>
          <w:p w14:paraId="60FE8212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Guesthouse and safe houses in Khartoum; Red Sea corridor monitoring.</w:t>
            </w:r>
          </w:p>
        </w:tc>
        <w:tc>
          <w:tcPr>
            <w:tcW w:w="2527" w:type="dxa"/>
          </w:tcPr>
          <w:p w14:paraId="1ED0DBBC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AU-HoAI projects; Khartoum Process initiatives; EU-HoA Migration Route Initiative; CoESPU/African Union joint training for law enforcement on TiP and SoM.</w:t>
            </w:r>
          </w:p>
        </w:tc>
      </w:tr>
      <w:tr w:rsidR="00200022" w:rsidRPr="006908F4" w14:paraId="03766D89" w14:textId="77777777" w:rsidTr="00DD764E">
        <w:trPr>
          <w:trHeight w:val="1326"/>
        </w:trPr>
        <w:tc>
          <w:tcPr>
            <w:tcW w:w="1083" w:type="dxa"/>
            <w:hideMark/>
          </w:tcPr>
          <w:p w14:paraId="55F8CEDF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Cross-Border Cooperation</w:t>
            </w:r>
          </w:p>
        </w:tc>
        <w:tc>
          <w:tcPr>
            <w:tcW w:w="1878" w:type="dxa"/>
            <w:hideMark/>
          </w:tcPr>
          <w:p w14:paraId="45252D48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Active collaboration via IGAD; joint investigations and intelligence sharing; mutual legal assistance treaties.</w:t>
            </w:r>
          </w:p>
        </w:tc>
        <w:tc>
          <w:tcPr>
            <w:tcW w:w="1348" w:type="dxa"/>
            <w:hideMark/>
          </w:tcPr>
          <w:p w14:paraId="3E470F0E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Participates in IGAD frameworks; constrained by internal instability.</w:t>
            </w:r>
          </w:p>
        </w:tc>
        <w:tc>
          <w:tcPr>
            <w:tcW w:w="1528" w:type="dxa"/>
            <w:hideMark/>
          </w:tcPr>
          <w:p w14:paraId="47195524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Cross-border coordination is limited; informal networks fill gaps.</w:t>
            </w:r>
          </w:p>
        </w:tc>
        <w:tc>
          <w:tcPr>
            <w:tcW w:w="1528" w:type="dxa"/>
          </w:tcPr>
          <w:p w14:paraId="31E423BD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Collaboration with the authorities of Ethiopia, Somalia, and Yemen for migrant protection.</w:t>
            </w:r>
          </w:p>
        </w:tc>
        <w:tc>
          <w:tcPr>
            <w:tcW w:w="1618" w:type="dxa"/>
          </w:tcPr>
          <w:p w14:paraId="183BE573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Engages in trilateral operations with Libya/Egypt on Smuggling, reporting to IGAD.</w:t>
            </w:r>
          </w:p>
        </w:tc>
        <w:tc>
          <w:tcPr>
            <w:tcW w:w="2527" w:type="dxa"/>
          </w:tcPr>
          <w:p w14:paraId="4CDE33CF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Regional referral mechanisms (Transnational Referral Mechanism, TRM); information-sharing platforms; coordinated enforcement and victim protection protocols.</w:t>
            </w:r>
          </w:p>
        </w:tc>
      </w:tr>
      <w:tr w:rsidR="00200022" w:rsidRPr="006908F4" w14:paraId="7DC36766" w14:textId="77777777" w:rsidTr="00DD764E">
        <w:trPr>
          <w:trHeight w:val="1315"/>
        </w:trPr>
        <w:tc>
          <w:tcPr>
            <w:tcW w:w="1083" w:type="dxa"/>
            <w:hideMark/>
          </w:tcPr>
          <w:p w14:paraId="7154D25F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Victim Protection Mechanisms</w:t>
            </w:r>
          </w:p>
        </w:tc>
        <w:tc>
          <w:tcPr>
            <w:tcW w:w="1878" w:type="dxa"/>
            <w:hideMark/>
          </w:tcPr>
          <w:p w14:paraId="5E1769CA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Gender-specific, child-sensitive assessments; shelters and psychosocial support; access to legal aid; integration programs.</w:t>
            </w:r>
          </w:p>
        </w:tc>
        <w:tc>
          <w:tcPr>
            <w:tcW w:w="1348" w:type="dxa"/>
            <w:hideMark/>
          </w:tcPr>
          <w:p w14:paraId="43425E26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Limited; mainly community-driven or NGO-supported.</w:t>
            </w:r>
          </w:p>
        </w:tc>
        <w:tc>
          <w:tcPr>
            <w:tcW w:w="1528" w:type="dxa"/>
            <w:hideMark/>
          </w:tcPr>
          <w:p w14:paraId="6422A3A1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Highly restricted; few formal mechanisms; risk of re-victimization.</w:t>
            </w:r>
          </w:p>
        </w:tc>
        <w:tc>
          <w:tcPr>
            <w:tcW w:w="1528" w:type="dxa"/>
          </w:tcPr>
          <w:p w14:paraId="1FEC50CD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Shelters, trauma-informed care, and training on psychosocial support.</w:t>
            </w:r>
          </w:p>
        </w:tc>
        <w:tc>
          <w:tcPr>
            <w:tcW w:w="1618" w:type="dxa"/>
          </w:tcPr>
          <w:p w14:paraId="47E47EDF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Transitional shelters; protection during transit; NGO-supported psychosocial services.</w:t>
            </w:r>
          </w:p>
        </w:tc>
        <w:tc>
          <w:tcPr>
            <w:tcW w:w="2527" w:type="dxa"/>
          </w:tcPr>
          <w:p w14:paraId="23E405E8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AU-HoAI harmonized protocols; Rome Declaration mandates; </w:t>
            </w:r>
            <w:r>
              <w:rPr>
                <w:rFonts w:asciiTheme="majorHAnsi" w:hAnsiTheme="majorHAnsi" w:cstheme="majorHAnsi"/>
                <w:sz w:val="20"/>
                <w:szCs w:val="20"/>
              </w:rPr>
              <w:t>victim-centered</w:t>
            </w: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, multi-stakeholder engagement; standardized training curricula across the region.</w:t>
            </w:r>
          </w:p>
        </w:tc>
      </w:tr>
      <w:tr w:rsidR="00200022" w:rsidRPr="006908F4" w14:paraId="70B54825" w14:textId="77777777" w:rsidTr="00DD764E">
        <w:trPr>
          <w:trHeight w:val="958"/>
        </w:trPr>
        <w:tc>
          <w:tcPr>
            <w:tcW w:w="1083" w:type="dxa"/>
            <w:hideMark/>
          </w:tcPr>
          <w:p w14:paraId="4C62B741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Challenges / Gaps</w:t>
            </w:r>
          </w:p>
        </w:tc>
        <w:tc>
          <w:tcPr>
            <w:tcW w:w="1878" w:type="dxa"/>
            <w:hideMark/>
          </w:tcPr>
          <w:p w14:paraId="021D148E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Fragmented coordination; resource and capacity limitations; victim identification underperforming</w:t>
            </w:r>
          </w:p>
        </w:tc>
        <w:tc>
          <w:tcPr>
            <w:tcW w:w="1348" w:type="dxa"/>
            <w:hideMark/>
          </w:tcPr>
          <w:p w14:paraId="30AA3A31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Weak enforcement due to political instability; gaps in legislation</w:t>
            </w:r>
          </w:p>
        </w:tc>
        <w:tc>
          <w:tcPr>
            <w:tcW w:w="1528" w:type="dxa"/>
            <w:hideMark/>
          </w:tcPr>
          <w:p w14:paraId="0D8742E5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Highly opaque governance; weak compliance</w:t>
            </w:r>
          </w:p>
        </w:tc>
        <w:tc>
          <w:tcPr>
            <w:tcW w:w="1528" w:type="dxa"/>
          </w:tcPr>
          <w:p w14:paraId="191E148D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Limited scalability; dependency on international funding</w:t>
            </w:r>
          </w:p>
        </w:tc>
        <w:tc>
          <w:tcPr>
            <w:tcW w:w="1618" w:type="dxa"/>
          </w:tcPr>
          <w:p w14:paraId="32071208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Internal conflict complicates law enforcement; porous borders</w:t>
            </w:r>
          </w:p>
        </w:tc>
        <w:tc>
          <w:tcPr>
            <w:tcW w:w="2527" w:type="dxa"/>
          </w:tcPr>
          <w:p w14:paraId="544B8835" w14:textId="77777777" w:rsidR="00200022" w:rsidRPr="006908F4" w:rsidRDefault="00200022" w:rsidP="00DD764E">
            <w:pPr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6908F4">
              <w:rPr>
                <w:rFonts w:asciiTheme="majorHAnsi" w:hAnsiTheme="majorHAnsi" w:cstheme="majorHAnsi"/>
                <w:sz w:val="20"/>
                <w:szCs w:val="20"/>
              </w:rPr>
              <w:t>Insufficient sustainable funding; political instability; coordination challenges; resource gaps; data collection inconsistencies; uneven application of protocols across member states</w:t>
            </w:r>
          </w:p>
        </w:tc>
      </w:tr>
    </w:tbl>
    <w:p w14:paraId="63B8B10D" w14:textId="77777777" w:rsidR="00F56EF7" w:rsidRPr="003A4259" w:rsidRDefault="00F56EF7" w:rsidP="00F56EF7">
      <w:pPr>
        <w:pStyle w:val="BodyText"/>
        <w:tabs>
          <w:tab w:val="left" w:pos="540"/>
        </w:tabs>
        <w:spacing w:before="120" w:after="120" w:line="360" w:lineRule="auto"/>
        <w:jc w:val="both"/>
        <w:rPr>
          <w:rFonts w:asciiTheme="majorHAnsi" w:hAnsiTheme="majorHAnsi" w:cstheme="majorHAnsi"/>
          <w:i/>
          <w:iCs/>
        </w:rPr>
      </w:pPr>
      <w:r w:rsidRPr="003A4259">
        <w:rPr>
          <w:rFonts w:asciiTheme="majorHAnsi" w:hAnsiTheme="majorHAnsi" w:cstheme="majorHAnsi"/>
          <w:i/>
          <w:iCs/>
        </w:rPr>
        <w:t>Source:</w:t>
      </w:r>
      <w:r w:rsidRPr="003A4259">
        <w:rPr>
          <w:rFonts w:asciiTheme="majorHAnsi" w:hAnsiTheme="majorHAnsi" w:cstheme="majorHAnsi"/>
          <w:i/>
          <w:iCs/>
          <w:spacing w:val="-4"/>
        </w:rPr>
        <w:t xml:space="preserve"> Completion </w:t>
      </w:r>
      <w:r w:rsidRPr="003A4259">
        <w:rPr>
          <w:rFonts w:asciiTheme="majorHAnsi" w:hAnsiTheme="majorHAnsi" w:cstheme="majorHAnsi"/>
          <w:i/>
          <w:iCs/>
        </w:rPr>
        <w:t>Author,</w:t>
      </w:r>
      <w:r w:rsidRPr="003A4259">
        <w:rPr>
          <w:rFonts w:asciiTheme="majorHAnsi" w:hAnsiTheme="majorHAnsi" w:cstheme="majorHAnsi"/>
          <w:i/>
          <w:iCs/>
          <w:spacing w:val="-4"/>
        </w:rPr>
        <w:t>2026</w:t>
      </w:r>
    </w:p>
    <w:p w14:paraId="6F6E8917" w14:textId="77777777" w:rsidR="00200022" w:rsidRDefault="00200022"/>
    <w:sectPr w:rsidR="002000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022"/>
    <w:rsid w:val="000C4033"/>
    <w:rsid w:val="00173ED8"/>
    <w:rsid w:val="00200022"/>
    <w:rsid w:val="002F50B1"/>
    <w:rsid w:val="004B42CB"/>
    <w:rsid w:val="005F2B46"/>
    <w:rsid w:val="006E1731"/>
    <w:rsid w:val="008233C4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F5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53149"/>
  <w15:chartTrackingRefBased/>
  <w15:docId w15:val="{792D6C07-10B3-4B10-A9CA-2FB69B6FB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0022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00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000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00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00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00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00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00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00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00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00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000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00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00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00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00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00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00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00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00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2000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00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2000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0022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2000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0022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2000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00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00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0022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2000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200022"/>
    <w:rPr>
      <w:rFonts w:ascii="Times New Roman" w:eastAsia="Times New Roman" w:hAnsi="Times New Roman" w:cs="Times New Roman"/>
      <w:kern w:val="0"/>
      <w:lang w:val="en-US" w:bidi="en-US"/>
      <w14:ligatures w14:val="none"/>
    </w:rPr>
  </w:style>
  <w:style w:type="table" w:styleId="TableGrid">
    <w:name w:val="Table Grid"/>
    <w:basedOn w:val="TableNormal"/>
    <w:uiPriority w:val="39"/>
    <w:rsid w:val="0020002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1041</Words>
  <Characters>5939</Characters>
  <Application>Microsoft Office Word</Application>
  <DocSecurity>0</DocSecurity>
  <Lines>49</Lines>
  <Paragraphs>13</Paragraphs>
  <ScaleCrop>false</ScaleCrop>
  <Company/>
  <LinksUpToDate>false</LinksUpToDate>
  <CharactersWithSpaces>6967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2</cp:revision>
  <dcterms:created xsi:type="dcterms:W3CDTF">2026-09-03T02:35:00Z</dcterms:created>
  <dcterms:modified xsi:type="dcterms:W3CDTF">2026-09-03T02:38:00Z</dcterms:modified>
</cp:coreProperties>
</file>