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40"/>
      </w:pPr>
      <w:r>
        <w:rPr>
          <w:b/>
          <w:bCs/>
          <w:sz w:val="20"/>
          <w:szCs w:val="20"/>
        </w:rPr>
        <w:t xml:space="preserve">Table 1.</w:t>
      </w:r>
      <w:r>
        <w:rPr>
          <w:sz w:val="20"/>
          <w:szCs w:val="20"/>
        </w:rPr>
        <w:t xml:space="preserve"> Frequency of participants with depression symptoms according to dental status (partial and complete dentures).</w:t>
      </w:r>
    </w:p>
    <w:tbl>
      <w:tblPr>
        <w:tblW w:type="dxa" w:w="98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3200"/>
        <w:gridCol w:w="1500"/>
        <w:gridCol w:w="1700"/>
        <w:gridCol w:w="1700"/>
        <w:gridCol w:w="1700"/>
      </w:tblGrid>
      <w:tr>
        <w:trPr>
          <w:tblHeader/>
        </w:trPr>
        <w:tc>
          <w:tcPr>
            <w:tcW w:type="dxa" w:w="3200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Variables</w:t>
            </w:r>
          </w:p>
        </w:tc>
        <w:tc>
          <w:tcPr>
            <w:tcW w:type="dxa" w:w="1500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Final Sample (N = 4,288)</w:t>
            </w:r>
          </w:p>
        </w:tc>
        <w:tc>
          <w:tcPr>
            <w:tcW w:type="dxa" w:w="1700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All teeth intact (n, % = 3,389, 76.1%)</w:t>
            </w:r>
          </w:p>
        </w:tc>
        <w:tc>
          <w:tcPr>
            <w:tcW w:type="dxa" w:w="1700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Partial denture, present (n, % = 589, 14.8%)</w:t>
            </w:r>
          </w:p>
        </w:tc>
        <w:tc>
          <w:tcPr>
            <w:tcW w:type="dxa" w:w="1700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Complete denture, present (n, % = 425, 9.9%)</w:t>
            </w:r>
          </w:p>
        </w:tc>
      </w:tr>
      <w:tr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Age, mean ± SD, years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43.5 ± 16.8</w:t>
            </w:r>
          </w:p>
        </w:tc>
        <w:tc>
          <w:tcPr>
            <w:tcW w:type="dxa" w:w="1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39.1 ± 14.4</w:t>
            </w:r>
          </w:p>
        </w:tc>
        <w:tc>
          <w:tcPr>
            <w:tcW w:type="dxa" w:w="1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54.1 ± 15.6</w:t>
            </w:r>
          </w:p>
        </w:tc>
        <w:tc>
          <w:tcPr>
            <w:tcW w:type="dxa" w:w="1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62.4 ± 14.8</w:t>
            </w:r>
          </w:p>
        </w:tc>
      </w:tr>
      <w:tr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Current dysphoria/hopelessness, present, n (%)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381 (9.0%)</w:t>
            </w:r>
          </w:p>
        </w:tc>
        <w:tc>
          <w:tcPr>
            <w:tcW w:type="dxa" w:w="1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281 (6.7%)</w:t>
            </w:r>
          </w:p>
        </w:tc>
        <w:tc>
          <w:tcPr>
            <w:tcW w:type="dxa" w:w="1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51 (9.3%)</w:t>
            </w:r>
          </w:p>
        </w:tc>
        <w:tc>
          <w:tcPr>
            <w:tcW w:type="dxa" w:w="1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37 (8.7%)</w:t>
            </w:r>
          </w:p>
        </w:tc>
      </w:tr>
      <w:tr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Current anhedonia, present, n (%)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219 (5.1%)</w:t>
            </w:r>
          </w:p>
        </w:tc>
        <w:tc>
          <w:tcPr>
            <w:tcW w:type="dxa" w:w="1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159 (3.8%)</w:t>
            </w:r>
          </w:p>
        </w:tc>
        <w:tc>
          <w:tcPr>
            <w:tcW w:type="dxa" w:w="1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33 (5.9%)</w:t>
            </w:r>
          </w:p>
        </w:tc>
        <w:tc>
          <w:tcPr>
            <w:tcW w:type="dxa" w:w="1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20 (4.6%)</w:t>
            </w:r>
          </w:p>
        </w:tc>
      </w:tr>
      <w:tr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Current anhedonia AND dysphoria/hopelessness, present, n (%)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158 (3.7%)</w:t>
            </w:r>
          </w:p>
        </w:tc>
        <w:tc>
          <w:tcPr>
            <w:tcW w:type="dxa" w:w="1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115 (2.7%)</w:t>
            </w:r>
          </w:p>
        </w:tc>
        <w:tc>
          <w:tcPr>
            <w:tcW w:type="dxa" w:w="1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22 (4.0%)</w:t>
            </w:r>
          </w:p>
        </w:tc>
        <w:tc>
          <w:tcPr>
            <w:tcW w:type="dxa" w:w="1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18 (4.1%)</w:t>
            </w:r>
          </w:p>
        </w:tc>
      </w:tr>
      <w:tr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Current anhedonia OR dysphoria/hopelessness, present, n (%)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442 (10.3%)</w:t>
            </w:r>
          </w:p>
        </w:tc>
        <w:tc>
          <w:tcPr>
            <w:tcW w:type="dxa" w:w="1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325 (7.7%)</w:t>
            </w:r>
          </w:p>
        </w:tc>
        <w:tc>
          <w:tcPr>
            <w:tcW w:type="dxa" w:w="1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62 (11.1%)</w:t>
            </w:r>
          </w:p>
        </w:tc>
        <w:tc>
          <w:tcPr>
            <w:tcW w:type="dxa" w:w="1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39 (8.9%)</w:t>
            </w:r>
          </w:p>
        </w:tc>
      </w:tr>
      <w:tr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Ever anhedonia OR dysphoria/hopelessness, present, n (%)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727 (17.0%)</w:t>
            </w:r>
          </w:p>
        </w:tc>
        <w:tc>
          <w:tcPr>
            <w:tcW w:type="dxa" w:w="1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536 (12.9%)</w:t>
            </w:r>
          </w:p>
        </w:tc>
        <w:tc>
          <w:tcPr>
            <w:tcW w:type="dxa" w:w="1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99 (18.2%)</w:t>
            </w:r>
          </w:p>
        </w:tc>
        <w:tc>
          <w:tcPr>
            <w:tcW w:type="dxa" w:w="1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71 (16.7%)</w:t>
            </w:r>
          </w:p>
        </w:tc>
      </w:tr>
    </w:tbl>
    <w:p>
      <w:pPr>
        <w:spacing w:after="80" w:line="240"/>
      </w:pPr>
      <w:r>
        <w:rPr>
          <w:sz w:val="16"/>
          <w:szCs w:val="16"/>
        </w:rPr>
        <w:t xml:space="preserve">Percentages for the “All teeth intact,” “Partial denture,” and “Complete denture” columns are computed relative to the final sample (N = 4,288); symptom percentages within each column are computed relative to that column’s denominator.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Postolache et al.</dc:creator>
  <cp:lastModifiedBy>Un-named</cp:lastModifiedBy>
  <cp:revision>1</cp:revision>
  <dcterms:created xsi:type="dcterms:W3CDTF">2026-07-24T10:24:08.728Z</dcterms:created>
  <dcterms:modified xsi:type="dcterms:W3CDTF">2026-07-24T10:24:08.729Z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