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7"/>
        <w:gridCol w:w="587"/>
        <w:gridCol w:w="10790"/>
        <w:gridCol w:w="2166"/>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8"/>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8"/>
              <w:keepNext w:val="0"/>
              <w:keepLines w:val="0"/>
              <w:suppressLineNumbers w:val="0"/>
              <w:spacing w:before="0" w:beforeAutospacing="0" w:after="0" w:afterAutospacing="0"/>
              <w:ind w:left="0" w:right="0"/>
              <w:rPr>
                <w:rFonts w:hint="default" w:ascii="Arial" w:hAnsi="Arial" w:cs="Arial"/>
                <w:b/>
                <w:bCs/>
                <w:color w:val="FFFFFF"/>
                <w:sz w:val="18"/>
                <w:szCs w:val="18"/>
              </w:rPr>
            </w:pPr>
            <w:r>
              <w:rPr>
                <w:rFonts w:hint="default" w:ascii="Arial" w:hAnsi="Arial" w:cs="Arial"/>
                <w:b/>
                <w:bCs/>
                <w:color w:val="FFFFFF"/>
                <w:sz w:val="18"/>
                <w:szCs w:val="18"/>
              </w:rPr>
              <w:t>Item #</w:t>
            </w:r>
          </w:p>
        </w:tc>
        <w:tc>
          <w:tcPr>
            <w:tcW w:w="1079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8"/>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Checklist item </w:t>
            </w:r>
          </w:p>
        </w:tc>
        <w:tc>
          <w:tcPr>
            <w:tcW w:w="2166"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8"/>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TITLE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8"/>
              <w:keepNext w:val="0"/>
              <w:keepLines w:val="0"/>
              <w:suppressLineNumbers w:val="0"/>
              <w:spacing w:before="0" w:beforeAutospacing="0" w:after="0" w:afterAutospacing="0"/>
              <w:ind w:left="0" w:right="0"/>
              <w:jc w:val="right"/>
              <w:rPr>
                <w:rFonts w:hint="default"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7273498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w:t>
            </w:r>
          </w:p>
        </w:tc>
        <w:tc>
          <w:tcPr>
            <w:tcW w:w="10790" w:type="dxa"/>
            <w:tcBorders>
              <w:top w:val="single" w:color="000000" w:sz="4" w:space="0"/>
              <w:left w:val="single" w:color="000000" w:sz="4" w:space="0"/>
              <w:bottom w:val="double" w:color="000000" w:sz="4" w:space="0"/>
              <w:right w:val="single" w:color="000000" w:sz="4" w:space="0"/>
            </w:tcBorders>
          </w:tcPr>
          <w:p w14:paraId="6E5E223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Identify the report as a systematic review.</w:t>
            </w:r>
          </w:p>
        </w:tc>
        <w:tc>
          <w:tcPr>
            <w:tcW w:w="2166" w:type="dxa"/>
            <w:tcBorders>
              <w:top w:val="single" w:color="000000" w:sz="4" w:space="0"/>
              <w:left w:val="single" w:color="000000" w:sz="4" w:space="0"/>
              <w:bottom w:val="double" w:color="000000" w:sz="4" w:space="0"/>
              <w:right w:val="single" w:color="000000" w:sz="4" w:space="0"/>
            </w:tcBorders>
          </w:tcPr>
          <w:p w14:paraId="2C544964">
            <w:pPr>
              <w:pStyle w:val="8"/>
              <w:keepNext w:val="0"/>
              <w:keepLines w:val="0"/>
              <w:suppressLineNumbers w:val="0"/>
              <w:spacing w:before="40" w:beforeAutospacing="0" w:after="40" w:afterAutospacing="0"/>
              <w:ind w:left="0" w:right="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Title Page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ABSTRACT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8"/>
              <w:keepNext w:val="0"/>
              <w:keepLines w:val="0"/>
              <w:suppressLineNumbers w:val="0"/>
              <w:spacing w:before="0" w:beforeAutospacing="0" w:after="0" w:afterAutospacing="0"/>
              <w:ind w:left="0" w:right="0"/>
              <w:jc w:val="right"/>
              <w:rPr>
                <w:rFonts w:hint="default"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022C7641">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w:t>
            </w:r>
          </w:p>
        </w:tc>
        <w:tc>
          <w:tcPr>
            <w:tcW w:w="10790" w:type="dxa"/>
            <w:tcBorders>
              <w:top w:val="single" w:color="000000" w:sz="4" w:space="0"/>
              <w:left w:val="single" w:color="000000" w:sz="4" w:space="0"/>
              <w:bottom w:val="double" w:color="000000" w:sz="4" w:space="0"/>
              <w:right w:val="single" w:color="000000" w:sz="4" w:space="0"/>
            </w:tcBorders>
          </w:tcPr>
          <w:p w14:paraId="5712AD67">
            <w:pPr>
              <w:keepNext w:val="0"/>
              <w:keepLines w:val="0"/>
              <w:widowControl/>
              <w:suppressLineNumbers w:val="0"/>
              <w:spacing w:before="40" w:beforeAutospacing="0" w:after="40" w:afterAutospacing="0"/>
              <w:ind w:left="0" w:right="0"/>
              <w:rPr>
                <w:rFonts w:hint="default" w:ascii="Arial" w:hAnsi="Arial" w:cs="Arial"/>
                <w:sz w:val="18"/>
                <w:szCs w:val="18"/>
              </w:rPr>
            </w:pPr>
            <w:r>
              <w:rPr>
                <w:rFonts w:hint="default" w:ascii="Arial" w:hAnsi="Arial" w:eastAsia="宋体" w:cs="Arial"/>
                <w:color w:val="000000"/>
                <w:kern w:val="0"/>
                <w:sz w:val="18"/>
                <w:szCs w:val="18"/>
                <w:lang w:val="en-US" w:eastAsia="zh-CN" w:bidi="ar"/>
              </w:rPr>
              <w:t xml:space="preserve">Page1: Abstract </w:t>
            </w:r>
          </w:p>
        </w:tc>
        <w:tc>
          <w:tcPr>
            <w:tcW w:w="2166" w:type="dxa"/>
            <w:tcBorders>
              <w:top w:val="single" w:color="000000" w:sz="4" w:space="0"/>
              <w:left w:val="single" w:color="000000" w:sz="4" w:space="0"/>
              <w:bottom w:val="double" w:color="000000" w:sz="4" w:space="0"/>
              <w:right w:val="single" w:color="000000" w:sz="4" w:space="0"/>
            </w:tcBorders>
          </w:tcPr>
          <w:p w14:paraId="029328DB">
            <w:pPr>
              <w:keepNext w:val="0"/>
              <w:keepLines w:val="0"/>
              <w:widowControl/>
              <w:suppressLineNumbers w:val="0"/>
              <w:spacing w:before="40" w:beforeAutospacing="0" w:after="40" w:afterAutospacing="0"/>
              <w:ind w:left="0" w:right="0"/>
              <w:rPr>
                <w:rFonts w:hint="default" w:ascii="Arial" w:hAnsi="Arial" w:eastAsia="宋体" w:cs="Arial"/>
                <w:color w:val="auto"/>
                <w:sz w:val="18"/>
                <w:szCs w:val="18"/>
                <w:lang w:val="en-US" w:eastAsia="zh-CN"/>
              </w:rPr>
            </w:pPr>
            <w:r>
              <w:rPr>
                <w:rFonts w:hint="default" w:ascii="Arial" w:hAnsi="Arial" w:eastAsia="宋体" w:cs="Arial"/>
                <w:color w:val="000000"/>
                <w:kern w:val="0"/>
                <w:sz w:val="18"/>
                <w:szCs w:val="18"/>
                <w:lang w:val="en-US" w:eastAsia="zh-CN" w:bidi="ar"/>
              </w:rPr>
              <w:t xml:space="preserve">Page1: Abstract </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INTRODUCTION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8"/>
              <w:keepNext w:val="0"/>
              <w:keepLines w:val="0"/>
              <w:suppressLineNumbers w:val="0"/>
              <w:spacing w:before="0" w:beforeAutospacing="0" w:after="0" w:afterAutospacing="0"/>
              <w:ind w:left="0" w:right="0"/>
              <w:jc w:val="right"/>
              <w:rPr>
                <w:rFonts w:hint="default"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92F204E">
            <w:pPr>
              <w:pStyle w:val="8"/>
              <w:keepNext w:val="0"/>
              <w:keepLines w:val="0"/>
              <w:suppressLineNumbers w:val="0"/>
              <w:spacing w:before="40" w:beforeAutospacing="0" w:after="40" w:afterAutospacing="0"/>
              <w:ind w:left="0" w:right="0"/>
              <w:rPr>
                <w:rFonts w:hint="default" w:ascii="Arial" w:hAnsi="Arial" w:cs="Arial"/>
                <w:sz w:val="18"/>
                <w:szCs w:val="18"/>
              </w:rPr>
            </w:pPr>
            <w:bookmarkStart w:id="0" w:name="_GoBack" w:colFirst="3" w:colLast="3"/>
            <w:r>
              <w:rPr>
                <w:rFonts w:hint="default"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3</w:t>
            </w:r>
          </w:p>
        </w:tc>
        <w:tc>
          <w:tcPr>
            <w:tcW w:w="10790" w:type="dxa"/>
            <w:tcBorders>
              <w:top w:val="single" w:color="000000" w:sz="4" w:space="0"/>
              <w:left w:val="single" w:color="000000" w:sz="4" w:space="0"/>
              <w:bottom w:val="single" w:color="000000" w:sz="4" w:space="0"/>
              <w:right w:val="single" w:color="000000" w:sz="4" w:space="0"/>
            </w:tcBorders>
          </w:tcPr>
          <w:p w14:paraId="6ADA1255">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rationale for the review in the context of existing knowledge.</w:t>
            </w:r>
          </w:p>
        </w:tc>
        <w:tc>
          <w:tcPr>
            <w:tcW w:w="2166" w:type="dxa"/>
            <w:tcBorders>
              <w:top w:val="single" w:color="000000" w:sz="4" w:space="0"/>
              <w:left w:val="single" w:color="000000" w:sz="4" w:space="0"/>
              <w:bottom w:val="single" w:color="000000" w:sz="4" w:space="0"/>
              <w:right w:val="single" w:color="000000" w:sz="4" w:space="0"/>
            </w:tcBorders>
          </w:tcPr>
          <w:p w14:paraId="4BA86AE9">
            <w:pPr>
              <w:keepNext w:val="0"/>
              <w:keepLines w:val="0"/>
              <w:widowControl/>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Introduction, paragraphs 1–3 (Pages 1–2)</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1729B596">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4</w:t>
            </w:r>
          </w:p>
        </w:tc>
        <w:tc>
          <w:tcPr>
            <w:tcW w:w="10790" w:type="dxa"/>
            <w:tcBorders>
              <w:top w:val="single" w:color="000000" w:sz="4" w:space="0"/>
              <w:left w:val="single" w:color="000000" w:sz="4" w:space="0"/>
              <w:bottom w:val="double" w:color="000000" w:sz="4" w:space="0"/>
              <w:right w:val="single" w:color="000000" w:sz="4" w:space="0"/>
            </w:tcBorders>
          </w:tcPr>
          <w:p w14:paraId="34103CE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an explicit statement of the objective(s) or question(s) the review addresses.</w:t>
            </w:r>
          </w:p>
        </w:tc>
        <w:tc>
          <w:tcPr>
            <w:tcW w:w="2166" w:type="dxa"/>
            <w:tcBorders>
              <w:top w:val="single" w:color="000000" w:sz="4" w:space="0"/>
              <w:left w:val="single" w:color="000000" w:sz="4" w:space="0"/>
              <w:bottom w:val="double" w:color="000000" w:sz="4" w:space="0"/>
              <w:right w:val="single" w:color="000000" w:sz="4" w:space="0"/>
            </w:tcBorders>
          </w:tcPr>
          <w:p w14:paraId="6DFCB2FE">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Introduction, last paragraph (Page 2)</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METHODS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8"/>
              <w:keepNext w:val="0"/>
              <w:keepLines w:val="0"/>
              <w:suppressLineNumbers w:val="0"/>
              <w:spacing w:before="0" w:beforeAutospacing="0" w:after="0" w:afterAutospacing="0"/>
              <w:ind w:left="0" w:right="0"/>
              <w:jc w:val="right"/>
              <w:rPr>
                <w:rFonts w:hint="default" w:ascii="Arial" w:hAnsi="Arial" w:eastAsia="宋体" w:cs="Arial"/>
                <w:color w:val="000000"/>
                <w:kern w:val="0"/>
                <w:sz w:val="18"/>
                <w:szCs w:val="18"/>
                <w:lang w:val="en-US" w:eastAsia="zh-CN" w:bidi="ar"/>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33B4F24">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5</w:t>
            </w:r>
          </w:p>
        </w:tc>
        <w:tc>
          <w:tcPr>
            <w:tcW w:w="10790" w:type="dxa"/>
            <w:tcBorders>
              <w:top w:val="single" w:color="000000" w:sz="4" w:space="0"/>
              <w:left w:val="single" w:color="000000" w:sz="4" w:space="0"/>
              <w:bottom w:val="single" w:color="000000" w:sz="4" w:space="0"/>
              <w:right w:val="single" w:color="000000" w:sz="4" w:space="0"/>
            </w:tcBorders>
          </w:tcPr>
          <w:p w14:paraId="044876D7">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inclusion and exclusion criteria for the review and how studies were grouped for the syntheses.</w:t>
            </w:r>
          </w:p>
        </w:tc>
        <w:tc>
          <w:tcPr>
            <w:tcW w:w="2166" w:type="dxa"/>
            <w:tcBorders>
              <w:top w:val="single" w:color="000000" w:sz="4" w:space="0"/>
              <w:left w:val="single" w:color="000000" w:sz="4" w:space="0"/>
              <w:bottom w:val="single" w:color="000000" w:sz="4" w:space="0"/>
              <w:right w:val="single" w:color="000000" w:sz="4" w:space="0"/>
            </w:tcBorders>
          </w:tcPr>
          <w:p w14:paraId="6B03C229">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Search Strategy and Study Selection (Page 2); Subgroup Definitions (Page 3)</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7" w:type="dxa"/>
            <w:tcBorders>
              <w:top w:val="single" w:color="000000" w:sz="4" w:space="0"/>
              <w:left w:val="single" w:color="000000" w:sz="4" w:space="0"/>
              <w:bottom w:val="single" w:color="000000" w:sz="4" w:space="0"/>
              <w:right w:val="single" w:color="000000" w:sz="4" w:space="0"/>
            </w:tcBorders>
          </w:tcPr>
          <w:p w14:paraId="5190E0C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6</w:t>
            </w:r>
          </w:p>
        </w:tc>
        <w:tc>
          <w:tcPr>
            <w:tcW w:w="10790" w:type="dxa"/>
            <w:tcBorders>
              <w:top w:val="single" w:color="000000" w:sz="4" w:space="0"/>
              <w:left w:val="single" w:color="000000" w:sz="4" w:space="0"/>
              <w:bottom w:val="single" w:color="000000" w:sz="4" w:space="0"/>
              <w:right w:val="single" w:color="000000" w:sz="4" w:space="0"/>
            </w:tcBorders>
          </w:tcPr>
          <w:p w14:paraId="57B9F4B4">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66" w:type="dxa"/>
            <w:tcBorders>
              <w:top w:val="single" w:color="000000" w:sz="4" w:space="0"/>
              <w:left w:val="single" w:color="000000" w:sz="4" w:space="0"/>
              <w:bottom w:val="single" w:color="000000" w:sz="4" w:space="0"/>
              <w:right w:val="single" w:color="000000" w:sz="4" w:space="0"/>
            </w:tcBorders>
          </w:tcPr>
          <w:p w14:paraId="13ED706A">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Search Strategy and Study Selection (Page 2) — searched from inception to April 2026</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54B1526">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7</w:t>
            </w:r>
          </w:p>
        </w:tc>
        <w:tc>
          <w:tcPr>
            <w:tcW w:w="10790" w:type="dxa"/>
            <w:tcBorders>
              <w:top w:val="single" w:color="000000" w:sz="4" w:space="0"/>
              <w:left w:val="single" w:color="000000" w:sz="4" w:space="0"/>
              <w:bottom w:val="single" w:color="000000" w:sz="4" w:space="0"/>
              <w:right w:val="single" w:color="000000" w:sz="4" w:space="0"/>
            </w:tcBorders>
          </w:tcPr>
          <w:p w14:paraId="21DED44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the full search strategies for all databases, registers and websites, including any filters and limits used.</w:t>
            </w:r>
          </w:p>
        </w:tc>
        <w:tc>
          <w:tcPr>
            <w:tcW w:w="2166" w:type="dxa"/>
            <w:tcBorders>
              <w:top w:val="single" w:color="000000" w:sz="4" w:space="0"/>
              <w:left w:val="single" w:color="000000" w:sz="4" w:space="0"/>
              <w:bottom w:val="single" w:color="000000" w:sz="4" w:space="0"/>
              <w:right w:val="single" w:color="000000" w:sz="4" w:space="0"/>
            </w:tcBorders>
          </w:tcPr>
          <w:p w14:paraId="7C82E22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eastAsia" w:ascii="Arial" w:hAnsi="Arial" w:eastAsia="宋体" w:cs="Arial"/>
                <w:color w:val="000000"/>
                <w:kern w:val="0"/>
                <w:sz w:val="18"/>
                <w:szCs w:val="18"/>
                <w:lang w:val="en-US" w:eastAsia="zh-CN" w:bidi="ar"/>
              </w:rPr>
              <w:t>Supplementary Materials Table1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623B265">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8</w:t>
            </w:r>
          </w:p>
        </w:tc>
        <w:tc>
          <w:tcPr>
            <w:tcW w:w="10790" w:type="dxa"/>
            <w:tcBorders>
              <w:top w:val="single" w:color="000000" w:sz="4" w:space="0"/>
              <w:left w:val="single" w:color="000000" w:sz="4" w:space="0"/>
              <w:bottom w:val="single" w:color="000000" w:sz="4" w:space="0"/>
              <w:right w:val="single" w:color="000000" w:sz="4" w:space="0"/>
            </w:tcBorders>
          </w:tcPr>
          <w:p w14:paraId="3410B901">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66" w:type="dxa"/>
            <w:tcBorders>
              <w:top w:val="single" w:color="000000" w:sz="4" w:space="0"/>
              <w:left w:val="single" w:color="000000" w:sz="4" w:space="0"/>
              <w:bottom w:val="single" w:color="000000" w:sz="4" w:space="0"/>
              <w:right w:val="single" w:color="000000" w:sz="4" w:space="0"/>
            </w:tcBorders>
          </w:tcPr>
          <w:p w14:paraId="00962FE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Search Strategy and Study Selection (Page 2) — two investigators independently screened; disagreements resolved by consensus</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7" w:type="dxa"/>
            <w:tcBorders>
              <w:top w:val="single" w:color="000000" w:sz="4" w:space="0"/>
              <w:left w:val="single" w:color="000000" w:sz="4" w:space="0"/>
              <w:bottom w:val="single" w:color="000000" w:sz="4" w:space="0"/>
              <w:right w:val="single" w:color="000000" w:sz="4" w:space="0"/>
            </w:tcBorders>
          </w:tcPr>
          <w:p w14:paraId="51505877">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9</w:t>
            </w:r>
          </w:p>
        </w:tc>
        <w:tc>
          <w:tcPr>
            <w:tcW w:w="10790" w:type="dxa"/>
            <w:tcBorders>
              <w:top w:val="single" w:color="000000" w:sz="4" w:space="0"/>
              <w:left w:val="single" w:color="000000" w:sz="4" w:space="0"/>
              <w:bottom w:val="single" w:color="000000" w:sz="4" w:space="0"/>
              <w:right w:val="single" w:color="000000" w:sz="4" w:space="0"/>
            </w:tcBorders>
          </w:tcPr>
          <w:p w14:paraId="55FB2B2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66" w:type="dxa"/>
            <w:tcBorders>
              <w:top w:val="single" w:color="000000" w:sz="4" w:space="0"/>
              <w:left w:val="single" w:color="000000" w:sz="4" w:space="0"/>
              <w:bottom w:val="single" w:color="000000" w:sz="4" w:space="0"/>
              <w:right w:val="single" w:color="000000" w:sz="4" w:space="0"/>
            </w:tcBorders>
          </w:tcPr>
          <w:p w14:paraId="1FB2C5F1">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Data Extraction and Outcomes (Page 2) — two investigators independently extracted data</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186BEC60">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10a</w:t>
            </w:r>
          </w:p>
        </w:tc>
        <w:tc>
          <w:tcPr>
            <w:tcW w:w="10790" w:type="dxa"/>
            <w:tcBorders>
              <w:top w:val="single" w:color="000000" w:sz="4" w:space="0"/>
              <w:left w:val="single" w:color="000000" w:sz="4" w:space="0"/>
              <w:bottom w:val="single" w:color="000000" w:sz="4" w:space="0"/>
              <w:right w:val="single" w:color="000000" w:sz="4" w:space="0"/>
            </w:tcBorders>
          </w:tcPr>
          <w:p w14:paraId="6A77D279">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66" w:type="dxa"/>
            <w:tcBorders>
              <w:top w:val="single" w:color="000000" w:sz="4" w:space="0"/>
              <w:left w:val="single" w:color="000000" w:sz="4" w:space="0"/>
              <w:bottom w:val="single" w:color="000000" w:sz="4" w:space="0"/>
              <w:right w:val="single" w:color="000000" w:sz="4" w:space="0"/>
            </w:tcBorders>
          </w:tcPr>
          <w:p w14:paraId="11D25995">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Data Extraction and Outcomes (Page 2)</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7E21F8B5">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10b</w:t>
            </w:r>
          </w:p>
        </w:tc>
        <w:tc>
          <w:tcPr>
            <w:tcW w:w="10790" w:type="dxa"/>
            <w:tcBorders>
              <w:top w:val="single" w:color="000000" w:sz="4" w:space="0"/>
              <w:left w:val="single" w:color="000000" w:sz="4" w:space="0"/>
              <w:bottom w:val="single" w:color="000000" w:sz="4" w:space="0"/>
              <w:right w:val="single" w:color="000000" w:sz="4" w:space="0"/>
            </w:tcBorders>
          </w:tcPr>
          <w:p w14:paraId="101A3B3D">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66" w:type="dxa"/>
            <w:tcBorders>
              <w:top w:val="single" w:color="000000" w:sz="4" w:space="0"/>
              <w:left w:val="single" w:color="000000" w:sz="4" w:space="0"/>
              <w:bottom w:val="single" w:color="000000" w:sz="4" w:space="0"/>
              <w:right w:val="single" w:color="000000" w:sz="4" w:space="0"/>
            </w:tcBorders>
          </w:tcPr>
          <w:p w14:paraId="595F3ED8">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Data Extraction and Outcomes (Page 2); Table 1</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946292E">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11</w:t>
            </w:r>
          </w:p>
        </w:tc>
        <w:tc>
          <w:tcPr>
            <w:tcW w:w="10790" w:type="dxa"/>
            <w:tcBorders>
              <w:top w:val="single" w:color="000000" w:sz="4" w:space="0"/>
              <w:left w:val="single" w:color="000000" w:sz="4" w:space="0"/>
              <w:bottom w:val="single" w:color="000000" w:sz="4" w:space="0"/>
              <w:right w:val="single" w:color="000000" w:sz="4" w:space="0"/>
            </w:tcBorders>
          </w:tcPr>
          <w:p w14:paraId="5C7277A8">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66" w:type="dxa"/>
            <w:tcBorders>
              <w:top w:val="single" w:color="000000" w:sz="4" w:space="0"/>
              <w:left w:val="single" w:color="000000" w:sz="4" w:space="0"/>
              <w:bottom w:val="single" w:color="000000" w:sz="4" w:space="0"/>
              <w:right w:val="single" w:color="000000" w:sz="4" w:space="0"/>
            </w:tcBorders>
          </w:tcPr>
          <w:p w14:paraId="2E65623E">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Risk of Bias Assessment (Page 3) — Cochrane RoB 2 tool</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1C2A98B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12</w:t>
            </w:r>
          </w:p>
        </w:tc>
        <w:tc>
          <w:tcPr>
            <w:tcW w:w="10790" w:type="dxa"/>
            <w:tcBorders>
              <w:top w:val="single" w:color="000000" w:sz="4" w:space="0"/>
              <w:left w:val="single" w:color="000000" w:sz="4" w:space="0"/>
              <w:bottom w:val="single" w:color="000000" w:sz="4" w:space="0"/>
              <w:right w:val="single" w:color="000000" w:sz="4" w:space="0"/>
            </w:tcBorders>
          </w:tcPr>
          <w:p w14:paraId="014B552B">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for each outcome the effect measure(s) (e.g. risk ratio, mean difference) used in the synthesis or presentation of results.</w:t>
            </w:r>
          </w:p>
        </w:tc>
        <w:tc>
          <w:tcPr>
            <w:tcW w:w="2166" w:type="dxa"/>
            <w:tcBorders>
              <w:top w:val="single" w:color="000000" w:sz="4" w:space="0"/>
              <w:left w:val="single" w:color="000000" w:sz="4" w:space="0"/>
              <w:bottom w:val="single" w:color="000000" w:sz="4" w:space="0"/>
              <w:right w:val="single" w:color="000000" w:sz="4" w:space="0"/>
            </w:tcBorders>
          </w:tcPr>
          <w:p w14:paraId="117563EA">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 RR for binary outcomes, MD for continuous outcomes</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2D0A6E3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13a</w:t>
            </w:r>
          </w:p>
        </w:tc>
        <w:tc>
          <w:tcPr>
            <w:tcW w:w="10790" w:type="dxa"/>
            <w:tcBorders>
              <w:top w:val="single" w:color="000000" w:sz="4" w:space="0"/>
              <w:left w:val="single" w:color="000000" w:sz="4" w:space="0"/>
              <w:bottom w:val="single" w:color="000000" w:sz="4" w:space="0"/>
              <w:right w:val="single" w:color="000000" w:sz="4" w:space="0"/>
            </w:tcBorders>
          </w:tcPr>
          <w:p w14:paraId="1521797E">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66" w:type="dxa"/>
            <w:tcBorders>
              <w:top w:val="single" w:color="000000" w:sz="4" w:space="0"/>
              <w:left w:val="single" w:color="000000" w:sz="4" w:space="0"/>
              <w:bottom w:val="single" w:color="000000" w:sz="4" w:space="0"/>
              <w:right w:val="single" w:color="000000" w:sz="4" w:space="0"/>
            </w:tcBorders>
          </w:tcPr>
          <w:p w14:paraId="1B146F9E">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Subgroup Definitions (Page 3); Table 1</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23FF4436">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13b</w:t>
            </w:r>
          </w:p>
        </w:tc>
        <w:tc>
          <w:tcPr>
            <w:tcW w:w="10790" w:type="dxa"/>
            <w:tcBorders>
              <w:top w:val="single" w:color="000000" w:sz="4" w:space="0"/>
              <w:left w:val="single" w:color="000000" w:sz="4" w:space="0"/>
              <w:bottom w:val="single" w:color="000000" w:sz="4" w:space="0"/>
              <w:right w:val="single" w:color="000000" w:sz="4" w:space="0"/>
            </w:tcBorders>
          </w:tcPr>
          <w:p w14:paraId="009F1C8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required to prepare the data for presentation or synthesis, such as handling of missing summary statistics, or data conversions.</w:t>
            </w:r>
          </w:p>
        </w:tc>
        <w:tc>
          <w:tcPr>
            <w:tcW w:w="2166" w:type="dxa"/>
            <w:tcBorders>
              <w:top w:val="single" w:color="000000" w:sz="4" w:space="0"/>
              <w:left w:val="single" w:color="000000" w:sz="4" w:space="0"/>
              <w:bottom w:val="single" w:color="000000" w:sz="4" w:space="0"/>
              <w:right w:val="single" w:color="000000" w:sz="4" w:space="0"/>
            </w:tcBorders>
          </w:tcPr>
          <w:p w14:paraId="388D7D6F">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 generic inverse-variance method for HRs</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trPr>
        <w:tc>
          <w:tcPr>
            <w:tcW w:w="1657" w:type="dxa"/>
            <w:vMerge w:val="continue"/>
            <w:tcBorders>
              <w:left w:val="single" w:color="000000" w:sz="4" w:space="0"/>
              <w:right w:val="single" w:color="000000" w:sz="4" w:space="0"/>
            </w:tcBorders>
          </w:tcPr>
          <w:p w14:paraId="0AC6B0CC">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13c</w:t>
            </w:r>
          </w:p>
        </w:tc>
        <w:tc>
          <w:tcPr>
            <w:tcW w:w="10790" w:type="dxa"/>
            <w:tcBorders>
              <w:top w:val="single" w:color="000000" w:sz="4" w:space="0"/>
              <w:left w:val="single" w:color="000000" w:sz="4" w:space="0"/>
              <w:bottom w:val="single" w:color="000000" w:sz="4" w:space="0"/>
              <w:right w:val="single" w:color="000000" w:sz="4" w:space="0"/>
            </w:tcBorders>
          </w:tcPr>
          <w:p w14:paraId="5C7C87FD">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tabulate or visually display results of individual studies and syntheses.</w:t>
            </w:r>
          </w:p>
        </w:tc>
        <w:tc>
          <w:tcPr>
            <w:tcW w:w="2166" w:type="dxa"/>
            <w:tcBorders>
              <w:top w:val="single" w:color="000000" w:sz="4" w:space="0"/>
              <w:left w:val="single" w:color="000000" w:sz="4" w:space="0"/>
              <w:bottom w:val="single" w:color="000000" w:sz="4" w:space="0"/>
              <w:right w:val="single" w:color="000000" w:sz="4" w:space="0"/>
            </w:tcBorders>
          </w:tcPr>
          <w:p w14:paraId="24320865">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Figures 3–9</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78DE9F90">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13d</w:t>
            </w:r>
          </w:p>
        </w:tc>
        <w:tc>
          <w:tcPr>
            <w:tcW w:w="10790" w:type="dxa"/>
            <w:tcBorders>
              <w:top w:val="single" w:color="000000" w:sz="4" w:space="0"/>
              <w:left w:val="single" w:color="000000" w:sz="4" w:space="0"/>
              <w:bottom w:val="single" w:color="000000" w:sz="4" w:space="0"/>
              <w:right w:val="single" w:color="000000" w:sz="4" w:space="0"/>
            </w:tcBorders>
          </w:tcPr>
          <w:p w14:paraId="788EDA76">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66" w:type="dxa"/>
            <w:tcBorders>
              <w:top w:val="single" w:color="000000" w:sz="4" w:space="0"/>
              <w:left w:val="single" w:color="000000" w:sz="4" w:space="0"/>
              <w:bottom w:val="single" w:color="000000" w:sz="4" w:space="0"/>
              <w:right w:val="single" w:color="000000" w:sz="4" w:space="0"/>
            </w:tcBorders>
          </w:tcPr>
          <w:p w14:paraId="1F3F0AF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 random-effects model, I² statistic, R 4.3.2</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61CA026E">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13e</w:t>
            </w:r>
          </w:p>
        </w:tc>
        <w:tc>
          <w:tcPr>
            <w:tcW w:w="10790" w:type="dxa"/>
            <w:tcBorders>
              <w:top w:val="single" w:color="000000" w:sz="4" w:space="0"/>
              <w:left w:val="single" w:color="000000" w:sz="4" w:space="0"/>
              <w:bottom w:val="single" w:color="000000" w:sz="4" w:space="0"/>
              <w:right w:val="single" w:color="000000" w:sz="4" w:space="0"/>
            </w:tcBorders>
          </w:tcPr>
          <w:p w14:paraId="39C60EC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explore possible causes of heterogeneity among study results (e.g. subgroup analysis, meta-regression).</w:t>
            </w:r>
          </w:p>
        </w:tc>
        <w:tc>
          <w:tcPr>
            <w:tcW w:w="2166" w:type="dxa"/>
            <w:tcBorders>
              <w:top w:val="single" w:color="000000" w:sz="4" w:space="0"/>
              <w:left w:val="single" w:color="000000" w:sz="4" w:space="0"/>
              <w:bottom w:val="single" w:color="000000" w:sz="4" w:space="0"/>
              <w:right w:val="single" w:color="000000" w:sz="4" w:space="0"/>
            </w:tcBorders>
          </w:tcPr>
          <w:p w14:paraId="09D0089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Subgroup Definitions (Page 3)</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7" w:type="dxa"/>
            <w:vMerge w:val="continue"/>
            <w:tcBorders>
              <w:left w:val="single" w:color="000000" w:sz="4" w:space="0"/>
              <w:bottom w:val="single" w:color="000000" w:sz="4" w:space="0"/>
              <w:right w:val="single" w:color="000000" w:sz="4" w:space="0"/>
            </w:tcBorders>
          </w:tcPr>
          <w:p w14:paraId="40E60726">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13f</w:t>
            </w:r>
          </w:p>
        </w:tc>
        <w:tc>
          <w:tcPr>
            <w:tcW w:w="10790" w:type="dxa"/>
            <w:tcBorders>
              <w:top w:val="single" w:color="000000" w:sz="4" w:space="0"/>
              <w:left w:val="single" w:color="000000" w:sz="4" w:space="0"/>
              <w:bottom w:val="single" w:color="000000" w:sz="4" w:space="0"/>
              <w:right w:val="single" w:color="000000" w:sz="4" w:space="0"/>
            </w:tcBorders>
          </w:tcPr>
          <w:p w14:paraId="32B204F5">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sensitivity analyses conducted to assess robustness of the synthesized results.</w:t>
            </w:r>
          </w:p>
        </w:tc>
        <w:tc>
          <w:tcPr>
            <w:tcW w:w="2166" w:type="dxa"/>
            <w:tcBorders>
              <w:top w:val="single" w:color="000000" w:sz="4" w:space="0"/>
              <w:left w:val="single" w:color="000000" w:sz="4" w:space="0"/>
              <w:bottom w:val="single" w:color="000000" w:sz="4" w:space="0"/>
              <w:right w:val="single" w:color="000000" w:sz="4" w:space="0"/>
            </w:tcBorders>
          </w:tcPr>
          <w:p w14:paraId="6D15FFD6">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 leave-one-out, fixed-effect model, restriction to Strauss criteria</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606E8AE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14</w:t>
            </w:r>
          </w:p>
        </w:tc>
        <w:tc>
          <w:tcPr>
            <w:tcW w:w="10790" w:type="dxa"/>
            <w:tcBorders>
              <w:top w:val="single" w:color="000000" w:sz="4" w:space="0"/>
              <w:left w:val="single" w:color="000000" w:sz="4" w:space="0"/>
              <w:bottom w:val="single" w:color="000000" w:sz="4" w:space="0"/>
              <w:right w:val="single" w:color="000000" w:sz="4" w:space="0"/>
            </w:tcBorders>
          </w:tcPr>
          <w:p w14:paraId="6353979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assess risk of bias due to missing results in a synthesis (arising from reporting biases).</w:t>
            </w:r>
          </w:p>
        </w:tc>
        <w:tc>
          <w:tcPr>
            <w:tcW w:w="2166" w:type="dxa"/>
            <w:tcBorders>
              <w:top w:val="single" w:color="000000" w:sz="4" w:space="0"/>
              <w:left w:val="single" w:color="000000" w:sz="4" w:space="0"/>
              <w:bottom w:val="single" w:color="000000" w:sz="4" w:space="0"/>
              <w:right w:val="single" w:color="000000" w:sz="4" w:space="0"/>
            </w:tcBorders>
          </w:tcPr>
          <w:p w14:paraId="7FDA1CB5">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Methods: Statistical Analysis (Page 3) — funnel plots and Egger's test when ≥10 studies available</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329A6D8">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15</w:t>
            </w:r>
          </w:p>
        </w:tc>
        <w:tc>
          <w:tcPr>
            <w:tcW w:w="10790" w:type="dxa"/>
            <w:tcBorders>
              <w:top w:val="single" w:color="000000" w:sz="4" w:space="0"/>
              <w:left w:val="single" w:color="000000" w:sz="4" w:space="0"/>
              <w:bottom w:val="single" w:color="000000" w:sz="4" w:space="0"/>
              <w:right w:val="single" w:color="000000" w:sz="4" w:space="0"/>
            </w:tcBorders>
          </w:tcPr>
          <w:p w14:paraId="1861BBFE">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assess certainty (or confidence) in the body of evidence for an outcome.</w:t>
            </w:r>
          </w:p>
        </w:tc>
        <w:tc>
          <w:tcPr>
            <w:tcW w:w="2166" w:type="dxa"/>
            <w:tcBorders>
              <w:top w:val="single" w:color="000000" w:sz="4" w:space="0"/>
              <w:left w:val="single" w:color="000000" w:sz="4" w:space="0"/>
              <w:bottom w:val="single" w:color="000000" w:sz="4" w:space="0"/>
              <w:right w:val="single" w:color="000000" w:sz="4" w:space="0"/>
            </w:tcBorders>
          </w:tcPr>
          <w:p w14:paraId="65DCEB19">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Supplementary Table 3 (GRADE)</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RESULTS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2C5E0E20">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16a</w:t>
            </w:r>
          </w:p>
        </w:tc>
        <w:tc>
          <w:tcPr>
            <w:tcW w:w="10790" w:type="dxa"/>
            <w:tcBorders>
              <w:top w:val="single" w:color="000000" w:sz="4" w:space="0"/>
              <w:left w:val="single" w:color="000000" w:sz="4" w:space="0"/>
              <w:bottom w:val="single" w:color="000000" w:sz="4" w:space="0"/>
              <w:right w:val="single" w:color="000000" w:sz="4" w:space="0"/>
            </w:tcBorders>
          </w:tcPr>
          <w:p w14:paraId="465FDF79">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66" w:type="dxa"/>
            <w:tcBorders>
              <w:top w:val="single" w:color="000000" w:sz="4" w:space="0"/>
              <w:left w:val="single" w:color="000000" w:sz="4" w:space="0"/>
              <w:bottom w:val="single" w:color="000000" w:sz="4" w:space="0"/>
              <w:right w:val="single" w:color="000000" w:sz="4" w:space="0"/>
            </w:tcBorders>
          </w:tcPr>
          <w:p w14:paraId="670CFC65">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Study Characteristics (Page 4); Figure 2 (PRISMA flow diagram)</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73401FBA">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16b</w:t>
            </w:r>
          </w:p>
        </w:tc>
        <w:tc>
          <w:tcPr>
            <w:tcW w:w="10790" w:type="dxa"/>
            <w:tcBorders>
              <w:top w:val="single" w:color="000000" w:sz="4" w:space="0"/>
              <w:left w:val="single" w:color="000000" w:sz="4" w:space="0"/>
              <w:bottom w:val="single" w:color="000000" w:sz="4" w:space="0"/>
              <w:right w:val="single" w:color="000000" w:sz="4" w:space="0"/>
            </w:tcBorders>
          </w:tcPr>
          <w:p w14:paraId="7C33FBE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Cite studies that might appear to meet the inclusion criteria, but which were excluded, and explain why they were excluded.</w:t>
            </w:r>
          </w:p>
        </w:tc>
        <w:tc>
          <w:tcPr>
            <w:tcW w:w="2166" w:type="dxa"/>
            <w:tcBorders>
              <w:top w:val="single" w:color="000000" w:sz="4" w:space="0"/>
              <w:left w:val="single" w:color="000000" w:sz="4" w:space="0"/>
              <w:bottom w:val="single" w:color="000000" w:sz="4" w:space="0"/>
              <w:right w:val="single" w:color="000000" w:sz="4" w:space="0"/>
            </w:tcBorders>
          </w:tcPr>
          <w:p w14:paraId="715316E4">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Figure 2 (PRISMA flow diagram)</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7" w:type="dxa"/>
            <w:tcBorders>
              <w:top w:val="single" w:color="000000" w:sz="4" w:space="0"/>
              <w:left w:val="single" w:color="000000" w:sz="4" w:space="0"/>
              <w:bottom w:val="single" w:color="000000" w:sz="4" w:space="0"/>
              <w:right w:val="single" w:color="000000" w:sz="4" w:space="0"/>
            </w:tcBorders>
          </w:tcPr>
          <w:p w14:paraId="248BFA8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17</w:t>
            </w:r>
          </w:p>
        </w:tc>
        <w:tc>
          <w:tcPr>
            <w:tcW w:w="10790" w:type="dxa"/>
            <w:tcBorders>
              <w:top w:val="single" w:color="000000" w:sz="4" w:space="0"/>
              <w:left w:val="single" w:color="000000" w:sz="4" w:space="0"/>
              <w:bottom w:val="single" w:color="000000" w:sz="4" w:space="0"/>
              <w:right w:val="single" w:color="000000" w:sz="4" w:space="0"/>
            </w:tcBorders>
          </w:tcPr>
          <w:p w14:paraId="07DC5B50">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Cite each included study and present its characteristics.</w:t>
            </w:r>
          </w:p>
        </w:tc>
        <w:tc>
          <w:tcPr>
            <w:tcW w:w="2166" w:type="dxa"/>
            <w:tcBorders>
              <w:top w:val="single" w:color="000000" w:sz="4" w:space="0"/>
              <w:left w:val="single" w:color="000000" w:sz="4" w:space="0"/>
              <w:bottom w:val="single" w:color="000000" w:sz="4" w:space="0"/>
              <w:right w:val="single" w:color="000000" w:sz="4" w:space="0"/>
            </w:tcBorders>
          </w:tcPr>
          <w:p w14:paraId="2BA7B4C0">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Table 1; References [10]–[20]</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074D41F9">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18</w:t>
            </w:r>
          </w:p>
        </w:tc>
        <w:tc>
          <w:tcPr>
            <w:tcW w:w="10790" w:type="dxa"/>
            <w:tcBorders>
              <w:top w:val="single" w:color="000000" w:sz="4" w:space="0"/>
              <w:left w:val="single" w:color="000000" w:sz="4" w:space="0"/>
              <w:bottom w:val="single" w:color="000000" w:sz="4" w:space="0"/>
              <w:right w:val="single" w:color="000000" w:sz="4" w:space="0"/>
            </w:tcBorders>
          </w:tcPr>
          <w:p w14:paraId="2E1F0F3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risk of bias for each included study.</w:t>
            </w:r>
          </w:p>
        </w:tc>
        <w:tc>
          <w:tcPr>
            <w:tcW w:w="2166" w:type="dxa"/>
            <w:tcBorders>
              <w:top w:val="single" w:color="000000" w:sz="4" w:space="0"/>
              <w:left w:val="single" w:color="000000" w:sz="4" w:space="0"/>
              <w:bottom w:val="single" w:color="000000" w:sz="4" w:space="0"/>
              <w:right w:val="single" w:color="000000" w:sz="4" w:space="0"/>
            </w:tcBorders>
          </w:tcPr>
          <w:p w14:paraId="7897FD3B">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Study Characteristics (Page 4); Supplementary Table 2</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8FD34DF">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19</w:t>
            </w:r>
          </w:p>
        </w:tc>
        <w:tc>
          <w:tcPr>
            <w:tcW w:w="10790" w:type="dxa"/>
            <w:tcBorders>
              <w:top w:val="single" w:color="000000" w:sz="4" w:space="0"/>
              <w:left w:val="single" w:color="000000" w:sz="4" w:space="0"/>
              <w:bottom w:val="single" w:color="000000" w:sz="4" w:space="0"/>
              <w:right w:val="single" w:color="000000" w:sz="4" w:space="0"/>
            </w:tcBorders>
          </w:tcPr>
          <w:p w14:paraId="77D5105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66" w:type="dxa"/>
            <w:tcBorders>
              <w:top w:val="single" w:color="000000" w:sz="4" w:space="0"/>
              <w:left w:val="single" w:color="000000" w:sz="4" w:space="0"/>
              <w:bottom w:val="single" w:color="000000" w:sz="4" w:space="0"/>
              <w:right w:val="single" w:color="000000" w:sz="4" w:space="0"/>
            </w:tcBorders>
          </w:tcPr>
          <w:p w14:paraId="43E181A6">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Figures 3–9; Table 1</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16BFCE5C">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20a</w:t>
            </w:r>
          </w:p>
        </w:tc>
        <w:tc>
          <w:tcPr>
            <w:tcW w:w="10790" w:type="dxa"/>
            <w:tcBorders>
              <w:top w:val="single" w:color="000000" w:sz="4" w:space="0"/>
              <w:left w:val="single" w:color="000000" w:sz="4" w:space="0"/>
              <w:bottom w:val="single" w:color="000000" w:sz="4" w:space="0"/>
              <w:right w:val="single" w:color="000000" w:sz="4" w:space="0"/>
            </w:tcBorders>
          </w:tcPr>
          <w:p w14:paraId="0E91347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For each synthesis, briefly summarise the characteristics and risk of bias among contributing studies.</w:t>
            </w:r>
          </w:p>
        </w:tc>
        <w:tc>
          <w:tcPr>
            <w:tcW w:w="2166" w:type="dxa"/>
            <w:tcBorders>
              <w:top w:val="single" w:color="000000" w:sz="4" w:space="0"/>
              <w:left w:val="single" w:color="000000" w:sz="4" w:space="0"/>
              <w:bottom w:val="single" w:color="000000" w:sz="4" w:space="0"/>
              <w:right w:val="single" w:color="000000" w:sz="4" w:space="0"/>
            </w:tcBorders>
          </w:tcPr>
          <w:p w14:paraId="7395E36F">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subsections 3.3–3.5 — each includes I² and risk of bias context</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7" w:type="dxa"/>
            <w:vMerge w:val="continue"/>
            <w:tcBorders>
              <w:left w:val="single" w:color="000000" w:sz="4" w:space="0"/>
              <w:right w:val="single" w:color="000000" w:sz="4" w:space="0"/>
            </w:tcBorders>
          </w:tcPr>
          <w:p w14:paraId="4760E726">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20b</w:t>
            </w:r>
          </w:p>
        </w:tc>
        <w:tc>
          <w:tcPr>
            <w:tcW w:w="10790" w:type="dxa"/>
            <w:tcBorders>
              <w:top w:val="single" w:color="000000" w:sz="4" w:space="0"/>
              <w:left w:val="single" w:color="000000" w:sz="4" w:space="0"/>
              <w:bottom w:val="single" w:color="000000" w:sz="4" w:space="0"/>
              <w:right w:val="single" w:color="000000" w:sz="4" w:space="0"/>
            </w:tcBorders>
          </w:tcPr>
          <w:p w14:paraId="214F5C2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66" w:type="dxa"/>
            <w:tcBorders>
              <w:top w:val="single" w:color="000000" w:sz="4" w:space="0"/>
              <w:left w:val="single" w:color="000000" w:sz="4" w:space="0"/>
              <w:bottom w:val="single" w:color="000000" w:sz="4" w:space="0"/>
              <w:right w:val="single" w:color="000000" w:sz="4" w:space="0"/>
            </w:tcBorders>
          </w:tcPr>
          <w:p w14:paraId="7C8F8A3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subsections 3.3–3.5 — RR/MD with 95% CI and I² values</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1B863B38">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20c</w:t>
            </w:r>
          </w:p>
        </w:tc>
        <w:tc>
          <w:tcPr>
            <w:tcW w:w="10790" w:type="dxa"/>
            <w:tcBorders>
              <w:top w:val="single" w:color="000000" w:sz="4" w:space="0"/>
              <w:left w:val="single" w:color="000000" w:sz="4" w:space="0"/>
              <w:bottom w:val="single" w:color="000000" w:sz="4" w:space="0"/>
              <w:right w:val="single" w:color="000000" w:sz="4" w:space="0"/>
            </w:tcBorders>
          </w:tcPr>
          <w:p w14:paraId="52AB047D">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investigations of possible causes of heterogeneity among study results.</w:t>
            </w:r>
          </w:p>
        </w:tc>
        <w:tc>
          <w:tcPr>
            <w:tcW w:w="2166" w:type="dxa"/>
            <w:tcBorders>
              <w:top w:val="single" w:color="000000" w:sz="4" w:space="0"/>
              <w:left w:val="single" w:color="000000" w:sz="4" w:space="0"/>
              <w:bottom w:val="single" w:color="000000" w:sz="4" w:space="0"/>
              <w:right w:val="single" w:color="000000" w:sz="4" w:space="0"/>
            </w:tcBorders>
          </w:tcPr>
          <w:p w14:paraId="05D8123F">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subsections 3.4–3.5; Meta-Regression Analysis (Page 6); Table 2</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456A0208">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20d</w:t>
            </w:r>
          </w:p>
        </w:tc>
        <w:tc>
          <w:tcPr>
            <w:tcW w:w="10790" w:type="dxa"/>
            <w:tcBorders>
              <w:top w:val="single" w:color="000000" w:sz="4" w:space="0"/>
              <w:left w:val="single" w:color="000000" w:sz="4" w:space="0"/>
              <w:bottom w:val="single" w:color="000000" w:sz="4" w:space="0"/>
              <w:right w:val="single" w:color="000000" w:sz="4" w:space="0"/>
            </w:tcBorders>
          </w:tcPr>
          <w:p w14:paraId="45824D6A">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sensitivity analyses conducted to assess the robustness of the synthesized results.</w:t>
            </w:r>
          </w:p>
        </w:tc>
        <w:tc>
          <w:tcPr>
            <w:tcW w:w="2166" w:type="dxa"/>
            <w:tcBorders>
              <w:top w:val="single" w:color="000000" w:sz="4" w:space="0"/>
              <w:left w:val="single" w:color="000000" w:sz="4" w:space="0"/>
              <w:bottom w:val="single" w:color="000000" w:sz="4" w:space="0"/>
              <w:right w:val="single" w:color="000000" w:sz="4" w:space="0"/>
            </w:tcBorders>
          </w:tcPr>
          <w:p w14:paraId="32E0B1FA">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subsections 3.4–3.5</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156C07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21</w:t>
            </w:r>
          </w:p>
        </w:tc>
        <w:tc>
          <w:tcPr>
            <w:tcW w:w="10790" w:type="dxa"/>
            <w:tcBorders>
              <w:top w:val="single" w:color="000000" w:sz="4" w:space="0"/>
              <w:left w:val="single" w:color="000000" w:sz="4" w:space="0"/>
              <w:bottom w:val="single" w:color="000000" w:sz="4" w:space="0"/>
              <w:right w:val="single" w:color="000000" w:sz="4" w:space="0"/>
            </w:tcBorders>
          </w:tcPr>
          <w:p w14:paraId="5A87793F">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risk of bias due to missing results (arising from reporting biases) for each synthesis assessed.</w:t>
            </w:r>
          </w:p>
        </w:tc>
        <w:tc>
          <w:tcPr>
            <w:tcW w:w="2166" w:type="dxa"/>
            <w:tcBorders>
              <w:top w:val="single" w:color="000000" w:sz="4" w:space="0"/>
              <w:left w:val="single" w:color="000000" w:sz="4" w:space="0"/>
              <w:bottom w:val="single" w:color="000000" w:sz="4" w:space="0"/>
              <w:right w:val="single" w:color="000000" w:sz="4" w:space="0"/>
            </w:tcBorders>
          </w:tcPr>
          <w:p w14:paraId="1A435861">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Results: Meta-Regression Analysis (Page 6); Supplementary Table 3</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4E8D53DB">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22</w:t>
            </w:r>
          </w:p>
        </w:tc>
        <w:tc>
          <w:tcPr>
            <w:tcW w:w="10790" w:type="dxa"/>
            <w:tcBorders>
              <w:top w:val="single" w:color="000000" w:sz="4" w:space="0"/>
              <w:left w:val="single" w:color="000000" w:sz="4" w:space="0"/>
              <w:bottom w:val="single" w:color="000000" w:sz="4" w:space="0"/>
              <w:right w:val="single" w:color="000000" w:sz="4" w:space="0"/>
            </w:tcBorders>
          </w:tcPr>
          <w:p w14:paraId="31892DC8">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certainty (or confidence) in the body of evidence for each outcome assessed.</w:t>
            </w:r>
          </w:p>
        </w:tc>
        <w:tc>
          <w:tcPr>
            <w:tcW w:w="2166" w:type="dxa"/>
            <w:tcBorders>
              <w:top w:val="single" w:color="000000" w:sz="4" w:space="0"/>
              <w:left w:val="single" w:color="000000" w:sz="4" w:space="0"/>
              <w:bottom w:val="single" w:color="000000" w:sz="4" w:space="0"/>
              <w:right w:val="single" w:color="000000" w:sz="4" w:space="0"/>
            </w:tcBorders>
          </w:tcPr>
          <w:p w14:paraId="76AE189C">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Supplementary Table 3 (GRADE)</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DISCUSSION </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8"/>
              <w:keepNext w:val="0"/>
              <w:keepLines w:val="0"/>
              <w:suppressLineNumbers w:val="0"/>
              <w:spacing w:before="0" w:beforeAutospacing="0" w:after="0" w:afterAutospacing="0"/>
              <w:ind w:left="0" w:right="0"/>
              <w:jc w:val="center"/>
              <w:rPr>
                <w:rFonts w:hint="default" w:ascii="Arial" w:hAnsi="Arial" w:eastAsia="宋体" w:cs="Arial"/>
                <w:color w:val="000000"/>
                <w:kern w:val="0"/>
                <w:sz w:val="18"/>
                <w:szCs w:val="18"/>
                <w:lang w:val="en-US" w:eastAsia="zh-CN" w:bidi="ar"/>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6A415BD4">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23a</w:t>
            </w:r>
          </w:p>
        </w:tc>
        <w:tc>
          <w:tcPr>
            <w:tcW w:w="10790" w:type="dxa"/>
            <w:tcBorders>
              <w:top w:val="single" w:color="000000" w:sz="4" w:space="0"/>
              <w:left w:val="single" w:color="000000" w:sz="4" w:space="0"/>
              <w:bottom w:val="single" w:color="000000" w:sz="4" w:space="0"/>
              <w:right w:val="single" w:color="000000" w:sz="4" w:space="0"/>
            </w:tcBorders>
          </w:tcPr>
          <w:p w14:paraId="3180C0BE">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a general interpretation of the results in the context of other evidence.</w:t>
            </w:r>
          </w:p>
        </w:tc>
        <w:tc>
          <w:tcPr>
            <w:tcW w:w="2166" w:type="dxa"/>
            <w:tcBorders>
              <w:top w:val="single" w:color="000000" w:sz="4" w:space="0"/>
              <w:left w:val="single" w:color="000000" w:sz="4" w:space="0"/>
              <w:bottom w:val="single" w:color="000000" w:sz="4" w:space="0"/>
              <w:right w:val="single" w:color="000000" w:sz="4" w:space="0"/>
            </w:tcBorders>
          </w:tcPr>
          <w:p w14:paraId="336F0287">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Discussion:</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34E4593B">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23b</w:t>
            </w:r>
          </w:p>
        </w:tc>
        <w:tc>
          <w:tcPr>
            <w:tcW w:w="10790" w:type="dxa"/>
            <w:tcBorders>
              <w:top w:val="single" w:color="000000" w:sz="4" w:space="0"/>
              <w:left w:val="single" w:color="000000" w:sz="4" w:space="0"/>
              <w:bottom w:val="single" w:color="000000" w:sz="4" w:space="0"/>
              <w:right w:val="single" w:color="000000" w:sz="4" w:space="0"/>
            </w:tcBorders>
          </w:tcPr>
          <w:p w14:paraId="2BC239AF">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any limitations of the evidence included in the review.</w:t>
            </w:r>
          </w:p>
        </w:tc>
        <w:tc>
          <w:tcPr>
            <w:tcW w:w="2166" w:type="dxa"/>
            <w:tcBorders>
              <w:top w:val="single" w:color="000000" w:sz="4" w:space="0"/>
              <w:left w:val="single" w:color="000000" w:sz="4" w:space="0"/>
              <w:bottom w:val="single" w:color="000000" w:sz="4" w:space="0"/>
              <w:right w:val="single" w:color="000000" w:sz="4" w:space="0"/>
            </w:tcBorders>
          </w:tcPr>
          <w:p w14:paraId="552BBDFF">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Discussion:</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3276A062">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23c</w:t>
            </w:r>
          </w:p>
        </w:tc>
        <w:tc>
          <w:tcPr>
            <w:tcW w:w="10790" w:type="dxa"/>
            <w:tcBorders>
              <w:top w:val="single" w:color="000000" w:sz="4" w:space="0"/>
              <w:left w:val="single" w:color="000000" w:sz="4" w:space="0"/>
              <w:bottom w:val="single" w:color="000000" w:sz="4" w:space="0"/>
              <w:right w:val="single" w:color="000000" w:sz="4" w:space="0"/>
            </w:tcBorders>
          </w:tcPr>
          <w:p w14:paraId="1ADE069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any limitations of the review processes used.</w:t>
            </w:r>
          </w:p>
        </w:tc>
        <w:tc>
          <w:tcPr>
            <w:tcW w:w="2166" w:type="dxa"/>
            <w:tcBorders>
              <w:top w:val="single" w:color="000000" w:sz="4" w:space="0"/>
              <w:left w:val="single" w:color="000000" w:sz="4" w:space="0"/>
              <w:bottom w:val="single" w:color="000000" w:sz="4" w:space="0"/>
              <w:right w:val="single" w:color="000000" w:sz="4" w:space="0"/>
            </w:tcBorders>
          </w:tcPr>
          <w:p w14:paraId="52AEF35E">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Discussion:</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auto" w:sz="4" w:space="0"/>
              <w:right w:val="single" w:color="000000" w:sz="4" w:space="0"/>
            </w:tcBorders>
          </w:tcPr>
          <w:p w14:paraId="4105AB4C">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23d</w:t>
            </w:r>
          </w:p>
        </w:tc>
        <w:tc>
          <w:tcPr>
            <w:tcW w:w="10790" w:type="dxa"/>
            <w:tcBorders>
              <w:top w:val="single" w:color="000000" w:sz="4" w:space="0"/>
              <w:left w:val="single" w:color="auto" w:sz="4" w:space="0"/>
              <w:bottom w:val="double" w:color="000000" w:sz="4" w:space="0"/>
              <w:right w:val="single" w:color="000000" w:sz="4" w:space="0"/>
            </w:tcBorders>
          </w:tcPr>
          <w:p w14:paraId="5FA0A2F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implications of the results for practice, policy, and future research.</w:t>
            </w:r>
          </w:p>
        </w:tc>
        <w:tc>
          <w:tcPr>
            <w:tcW w:w="2166" w:type="dxa"/>
            <w:tcBorders>
              <w:top w:val="single" w:color="000000" w:sz="4" w:space="0"/>
              <w:left w:val="single" w:color="000000" w:sz="4" w:space="0"/>
              <w:bottom w:val="double" w:color="000000" w:sz="4" w:space="0"/>
              <w:right w:val="single" w:color="000000" w:sz="4" w:space="0"/>
            </w:tcBorders>
          </w:tcPr>
          <w:p w14:paraId="30980325">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Discussion:</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8"/>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OTHER INFORMATION</w:t>
            </w:r>
          </w:p>
        </w:tc>
        <w:tc>
          <w:tcPr>
            <w:tcW w:w="2166"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8"/>
              <w:keepNext w:val="0"/>
              <w:keepLines w:val="0"/>
              <w:suppressLineNumbers w:val="0"/>
              <w:spacing w:before="0" w:beforeAutospacing="0" w:after="0" w:afterAutospacing="0"/>
              <w:ind w:left="0" w:right="0"/>
              <w:jc w:val="center"/>
              <w:rPr>
                <w:rFonts w:hint="default" w:ascii="Arial" w:hAnsi="Arial" w:eastAsia="宋体" w:cs="Arial"/>
                <w:color w:val="000000"/>
                <w:kern w:val="0"/>
                <w:sz w:val="18"/>
                <w:szCs w:val="18"/>
                <w:lang w:val="en-US" w:eastAsia="zh-CN" w:bidi="ar"/>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56E3C875">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24a</w:t>
            </w:r>
          </w:p>
        </w:tc>
        <w:tc>
          <w:tcPr>
            <w:tcW w:w="10790" w:type="dxa"/>
            <w:tcBorders>
              <w:top w:val="single" w:color="000000" w:sz="4" w:space="0"/>
              <w:left w:val="single" w:color="000000" w:sz="4" w:space="0"/>
              <w:bottom w:val="single" w:color="000000" w:sz="4" w:space="0"/>
              <w:right w:val="single" w:color="000000" w:sz="4" w:space="0"/>
            </w:tcBorders>
          </w:tcPr>
          <w:p w14:paraId="16AABB8D">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registration information for the review, including register name and registration number, or state that the review was not registered.</w:t>
            </w:r>
          </w:p>
        </w:tc>
        <w:tc>
          <w:tcPr>
            <w:tcW w:w="2166" w:type="dxa"/>
            <w:tcBorders>
              <w:top w:val="single" w:color="000000" w:sz="4" w:space="0"/>
              <w:left w:val="single" w:color="000000" w:sz="4" w:space="0"/>
              <w:bottom w:val="single" w:color="000000" w:sz="4" w:space="0"/>
              <w:right w:val="single" w:color="000000" w:sz="4" w:space="0"/>
            </w:tcBorders>
          </w:tcPr>
          <w:p w14:paraId="2EE9DE13">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 xml:space="preserve">Abstract </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7" w:type="dxa"/>
            <w:vMerge w:val="continue"/>
            <w:tcBorders>
              <w:left w:val="single" w:color="000000" w:sz="4" w:space="0"/>
              <w:right w:val="single" w:color="000000" w:sz="4" w:space="0"/>
            </w:tcBorders>
          </w:tcPr>
          <w:p w14:paraId="038F19BF">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24b</w:t>
            </w:r>
          </w:p>
        </w:tc>
        <w:tc>
          <w:tcPr>
            <w:tcW w:w="10790" w:type="dxa"/>
            <w:tcBorders>
              <w:top w:val="single" w:color="000000" w:sz="4" w:space="0"/>
              <w:left w:val="single" w:color="000000" w:sz="4" w:space="0"/>
              <w:bottom w:val="single" w:color="000000" w:sz="4" w:space="0"/>
              <w:right w:val="single" w:color="000000" w:sz="4" w:space="0"/>
            </w:tcBorders>
          </w:tcPr>
          <w:p w14:paraId="30E4D536">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Indicate where the review protocol can be accessed, or state that a protocol was not prepared.</w:t>
            </w:r>
          </w:p>
        </w:tc>
        <w:tc>
          <w:tcPr>
            <w:tcW w:w="2166" w:type="dxa"/>
            <w:tcBorders>
              <w:top w:val="single" w:color="000000" w:sz="4" w:space="0"/>
              <w:left w:val="single" w:color="000000" w:sz="4" w:space="0"/>
              <w:bottom w:val="single" w:color="000000" w:sz="4" w:space="0"/>
              <w:right w:val="single" w:color="000000" w:sz="4" w:space="0"/>
            </w:tcBorders>
          </w:tcPr>
          <w:p w14:paraId="55D44A96">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 xml:space="preserve">Abstract </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3F05BA64">
            <w:pPr>
              <w:pStyle w:val="8"/>
              <w:keepNext w:val="0"/>
              <w:keepLines w:val="0"/>
              <w:suppressLineNumbers w:val="0"/>
              <w:spacing w:before="40" w:beforeAutospacing="0" w:after="40" w:afterAutospacing="0"/>
              <w:ind w:left="0" w:right="0"/>
              <w:rPr>
                <w:rFonts w:hint="default"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24c</w:t>
            </w:r>
          </w:p>
        </w:tc>
        <w:tc>
          <w:tcPr>
            <w:tcW w:w="10790" w:type="dxa"/>
            <w:tcBorders>
              <w:top w:val="single" w:color="000000" w:sz="4" w:space="0"/>
              <w:left w:val="single" w:color="000000" w:sz="4" w:space="0"/>
              <w:bottom w:val="single" w:color="000000" w:sz="4" w:space="0"/>
              <w:right w:val="single" w:color="000000" w:sz="4" w:space="0"/>
            </w:tcBorders>
          </w:tcPr>
          <w:p w14:paraId="0EA5EF40">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and explain any amendments to information provided at registration or in the protocol.</w:t>
            </w:r>
          </w:p>
        </w:tc>
        <w:tc>
          <w:tcPr>
            <w:tcW w:w="2166" w:type="dxa"/>
            <w:tcBorders>
              <w:top w:val="single" w:color="000000" w:sz="4" w:space="0"/>
              <w:left w:val="single" w:color="000000" w:sz="4" w:space="0"/>
              <w:bottom w:val="single" w:color="000000" w:sz="4" w:space="0"/>
              <w:right w:val="single" w:color="000000" w:sz="4" w:space="0"/>
            </w:tcBorders>
          </w:tcPr>
          <w:p w14:paraId="0ED81809">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eastAsia" w:ascii="Arial" w:hAnsi="Arial" w:eastAsia="宋体" w:cs="Arial"/>
                <w:color w:val="000000"/>
                <w:kern w:val="0"/>
                <w:sz w:val="18"/>
                <w:szCs w:val="18"/>
                <w:lang w:val="en-US" w:eastAsia="zh-CN" w:bidi="ar"/>
              </w:rPr>
              <w:t>NA</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68E03AB">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25</w:t>
            </w:r>
          </w:p>
        </w:tc>
        <w:tc>
          <w:tcPr>
            <w:tcW w:w="10790" w:type="dxa"/>
            <w:tcBorders>
              <w:top w:val="single" w:color="000000" w:sz="4" w:space="0"/>
              <w:left w:val="single" w:color="000000" w:sz="4" w:space="0"/>
              <w:bottom w:val="single" w:color="000000" w:sz="4" w:space="0"/>
              <w:right w:val="single" w:color="000000" w:sz="4" w:space="0"/>
            </w:tcBorders>
          </w:tcPr>
          <w:p w14:paraId="3D202DC4">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sources of financial or non-financial support for the review, and the role of the funders or sponsors in the review.</w:t>
            </w:r>
          </w:p>
        </w:tc>
        <w:tc>
          <w:tcPr>
            <w:tcW w:w="2166" w:type="dxa"/>
            <w:tcBorders>
              <w:top w:val="single" w:color="000000" w:sz="4" w:space="0"/>
              <w:left w:val="single" w:color="000000" w:sz="4" w:space="0"/>
              <w:bottom w:val="single" w:color="000000" w:sz="4" w:space="0"/>
              <w:right w:val="single" w:color="000000" w:sz="4" w:space="0"/>
            </w:tcBorders>
          </w:tcPr>
          <w:p w14:paraId="4307C57C">
            <w:pPr>
              <w:keepNext w:val="0"/>
              <w:keepLines w:val="0"/>
              <w:widowControl/>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 xml:space="preserve">Funding sources </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7DA1532">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26</w:t>
            </w:r>
          </w:p>
        </w:tc>
        <w:tc>
          <w:tcPr>
            <w:tcW w:w="10790" w:type="dxa"/>
            <w:tcBorders>
              <w:top w:val="single" w:color="000000" w:sz="4" w:space="0"/>
              <w:left w:val="single" w:color="000000" w:sz="4" w:space="0"/>
              <w:bottom w:val="single" w:color="000000" w:sz="4" w:space="0"/>
              <w:right w:val="single" w:color="000000" w:sz="4" w:space="0"/>
            </w:tcBorders>
          </w:tcPr>
          <w:p w14:paraId="6C50B7A3">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Declare any competing interests of review authors.</w:t>
            </w:r>
          </w:p>
        </w:tc>
        <w:tc>
          <w:tcPr>
            <w:tcW w:w="2166" w:type="dxa"/>
            <w:tcBorders>
              <w:top w:val="single" w:color="000000" w:sz="4" w:space="0"/>
              <w:left w:val="single" w:color="000000" w:sz="4" w:space="0"/>
              <w:bottom w:val="single" w:color="000000" w:sz="4" w:space="0"/>
              <w:right w:val="single" w:color="000000" w:sz="4" w:space="0"/>
            </w:tcBorders>
          </w:tcPr>
          <w:p w14:paraId="6FA1E09F">
            <w:pPr>
              <w:pStyle w:val="8"/>
              <w:keepNext w:val="0"/>
              <w:keepLines w:val="0"/>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 xml:space="preserve">Conflict of interest </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57" w:type="dxa"/>
            <w:tcBorders>
              <w:top w:val="single" w:color="000000" w:sz="4" w:space="0"/>
              <w:left w:val="single" w:color="000000" w:sz="4" w:space="0"/>
              <w:bottom w:val="double" w:color="000000" w:sz="4" w:space="0"/>
              <w:right w:val="single" w:color="000000" w:sz="4" w:space="0"/>
            </w:tcBorders>
          </w:tcPr>
          <w:p w14:paraId="71A9B4E7">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8"/>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27</w:t>
            </w:r>
          </w:p>
        </w:tc>
        <w:tc>
          <w:tcPr>
            <w:tcW w:w="10790" w:type="dxa"/>
            <w:tcBorders>
              <w:top w:val="single" w:color="000000" w:sz="4" w:space="0"/>
              <w:left w:val="single" w:color="000000" w:sz="4" w:space="0"/>
              <w:bottom w:val="double" w:color="000000" w:sz="4" w:space="0"/>
              <w:right w:val="single" w:color="000000" w:sz="4" w:space="0"/>
            </w:tcBorders>
          </w:tcPr>
          <w:p w14:paraId="619249F8">
            <w:pPr>
              <w:pStyle w:val="8"/>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66" w:type="dxa"/>
            <w:tcBorders>
              <w:top w:val="single" w:color="000000" w:sz="4" w:space="0"/>
              <w:left w:val="single" w:color="000000" w:sz="4" w:space="0"/>
              <w:bottom w:val="double" w:color="000000" w:sz="4" w:space="0"/>
              <w:right w:val="single" w:color="000000" w:sz="4" w:space="0"/>
            </w:tcBorders>
          </w:tcPr>
          <w:p w14:paraId="13A1E2BB">
            <w:pPr>
              <w:keepNext w:val="0"/>
              <w:keepLines w:val="0"/>
              <w:widowControl/>
              <w:suppressLineNumbers w:val="0"/>
              <w:spacing w:before="40" w:beforeAutospacing="0" w:after="40" w:afterAutospacing="0"/>
              <w:ind w:left="0" w:right="0"/>
              <w:rPr>
                <w:rFonts w:hint="default" w:ascii="Arial" w:hAnsi="Arial" w:eastAsia="宋体" w:cs="Arial"/>
                <w:color w:val="000000"/>
                <w:kern w:val="0"/>
                <w:sz w:val="18"/>
                <w:szCs w:val="18"/>
                <w:lang w:val="en-US" w:eastAsia="zh-CN" w:bidi="ar"/>
              </w:rPr>
            </w:pPr>
            <w:r>
              <w:rPr>
                <w:rFonts w:hint="default" w:ascii="Arial" w:hAnsi="Arial" w:eastAsia="宋体" w:cs="Arial"/>
                <w:color w:val="000000"/>
                <w:kern w:val="0"/>
                <w:sz w:val="18"/>
                <w:szCs w:val="18"/>
                <w:lang w:val="en-US" w:eastAsia="zh-CN" w:bidi="ar"/>
              </w:rPr>
              <w:t xml:space="preserve">Availability Statement </w:t>
            </w:r>
          </w:p>
        </w:tc>
      </w:tr>
      <w:bookmarkEnd w:id="0"/>
    </w:tbl>
    <w:p w14:paraId="6338F4EE">
      <w:pPr>
        <w:pStyle w:val="8"/>
        <w:rPr>
          <w:rFonts w:ascii="Arial" w:hAnsi="Arial" w:cs="Arial"/>
          <w:color w:val="auto"/>
        </w:rPr>
      </w:pPr>
    </w:p>
    <w:p w14:paraId="664FB0CE">
      <w:pPr>
        <w:pStyle w:val="8"/>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7"/>
          <w:rFonts w:ascii="Arial" w:hAnsi="Arial" w:cs="Arial"/>
          <w:sz w:val="16"/>
          <w:szCs w:val="16"/>
        </w:rPr>
        <w:t>https://creativecommons.org/licenses/by/4.0/</w:t>
      </w:r>
      <w:r>
        <w:rPr>
          <w:rStyle w:val="7"/>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90204"/>
    <w:charset w:val="00"/>
    <w:family w:val="swiss"/>
    <w:pitch w:val="default"/>
    <w:sig w:usb0="00000003" w:usb1="00000000" w:usb2="00000000" w:usb3="00000000" w:csb0="20000001"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10"/>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4445" b="0"/>
          <wp:wrapSquare wrapText="bothSides"/>
          <wp:docPr id="1" name="图片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BC57CD"/>
    <w:rsid w:val="00C22710"/>
    <w:rsid w:val="00D95D84"/>
    <w:rsid w:val="00DC4F19"/>
    <w:rsid w:val="00E324A8"/>
    <w:rsid w:val="00E66E3A"/>
    <w:rsid w:val="00EB610E"/>
    <w:rsid w:val="00F67C14"/>
    <w:rsid w:val="00FB3483"/>
    <w:rsid w:val="02A76009"/>
    <w:rsid w:val="0A281FD6"/>
    <w:rsid w:val="16252E79"/>
    <w:rsid w:val="16EF1C6D"/>
    <w:rsid w:val="1F4B7FF0"/>
    <w:rsid w:val="203B0065"/>
    <w:rsid w:val="23152DEF"/>
    <w:rsid w:val="232B5EA4"/>
    <w:rsid w:val="34605E94"/>
    <w:rsid w:val="37253C6B"/>
    <w:rsid w:val="41113A25"/>
    <w:rsid w:val="422E5D81"/>
    <w:rsid w:val="48F6071D"/>
    <w:rsid w:val="4D445EFB"/>
    <w:rsid w:val="50BD6852"/>
    <w:rsid w:val="5CAE1B9F"/>
    <w:rsid w:val="5D4D0E28"/>
    <w:rsid w:val="74990EC2"/>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qFormat/>
    <w:uiPriority w:val="0"/>
    <w:rPr>
      <w:color w:val="0563C1"/>
      <w:u w:val="single"/>
    </w:rPr>
  </w:style>
  <w:style w:type="paragraph" w:customStyle="1" w:styleId="8">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9">
    <w:name w:val="CM1"/>
    <w:basedOn w:val="8"/>
    <w:next w:val="8"/>
    <w:qFormat/>
    <w:uiPriority w:val="0"/>
    <w:rPr>
      <w:rFonts w:cs="Times New Roman"/>
      <w:color w:val="auto"/>
    </w:rPr>
  </w:style>
  <w:style w:type="paragraph" w:customStyle="1" w:styleId="10">
    <w:name w:val="CM2"/>
    <w:basedOn w:val="8"/>
    <w:next w:val="8"/>
    <w:qFormat/>
    <w:uiPriority w:val="0"/>
    <w:pPr>
      <w:spacing w:after="373"/>
    </w:pPr>
    <w:rPr>
      <w:rFonts w:cs="Times New Roman"/>
      <w:color w:val="auto"/>
    </w:rPr>
  </w:style>
  <w:style w:type="character" w:customStyle="1" w:styleId="11">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1207</Words>
  <Characters>7062</Characters>
  <Lines>50</Lines>
  <Paragraphs>14</Paragraphs>
  <TotalTime>64</TotalTime>
  <ScaleCrop>false</ScaleCrop>
  <LinksUpToDate>false</LinksUpToDate>
  <CharactersWithSpaces>8141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彭海军</cp:lastModifiedBy>
  <cp:lastPrinted>2020-11-24T03:02:00Z</cp:lastPrinted>
  <dcterms:modified xsi:type="dcterms:W3CDTF">2026-06-23T13:40:26Z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eyJoZGlkIjoiYzI3ZGJmZjE3NTBjYjBjYjU1MmVhNjAzYjUwM2ZlOGEiLCJ1c2VySWQiOiI1OTk0Mjg2NTMifQ==</vt:lpwstr>
  </property>
  <property fmtid="{D5CDD505-2E9C-101B-9397-08002B2CF9AE}" pid="3" name="KSOProductBuildVer">
    <vt:lpwstr>2052-12.1.0.26375</vt:lpwstr>
  </property>
  <property fmtid="{D5CDD505-2E9C-101B-9397-08002B2CF9AE}" pid="4" name="ICV">
    <vt:lpwstr>D522343196F74497B0535F86027689D2_13</vt:lpwstr>
  </property>
</Properties>
</file>