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additional-file-1"/>
    <w:p>
      <w:pPr>
        <w:pStyle w:val="Heading1"/>
        <w:spacing w:line="240" w:lineRule="auto" w:after="120"/>
        <w:jc w:val="center"/>
      </w:pPr>
      <w:r>
        <w:rPr>
          <w:rFonts w:ascii="Times New Roman" w:hAnsi="Times New Roman" w:eastAsia="Times New Roman"/>
          <w:b/>
          <w:sz w:val="24"/>
        </w:rPr>
        <w:t xml:space="preserve">Additional file 1</w:t>
      </w:r>
    </w:p>
    <w:bookmarkStart w:id="21" w:name="Xc15968c02f04ab57a969cae63169f14cd6e400b"/>
    <w:p>
      <w:pPr>
        <w:pStyle w:val="Heading2"/>
        <w:spacing w:line="276" w:lineRule="auto" w:after="160"/>
        <w:jc w:val="center"/>
      </w:pPr>
      <w:r>
        <w:rPr>
          <w:rFonts w:ascii="Times New Roman" w:hAnsi="Times New Roman" w:eastAsia="Times New Roman"/>
          <w:b/>
          <w:sz w:val="28"/>
        </w:rPr>
        <w:t xml:space="preserve">Supplementary tables for: Blood cadmium, smoking-related factors, and depressive symptoms among U.S. adults: a cross-sectional analysis of NHANES 2005–2020</w:t>
      </w:r>
    </w:p>
    <w:p>
      <w:pPr>
        <w:pStyle w:val="FirstParagraph"/>
        <w:spacing w:line="240" w:lineRule="auto" w:after="60"/>
        <w:jc w:val="center"/>
      </w:pPr>
      <w:r>
        <w:rPr>
          <w:rFonts w:ascii="Times New Roman" w:hAnsi="Times New Roman" w:eastAsia="Times New Roman"/>
          <w:sz w:val="21"/>
        </w:rPr>
        <w:t xml:space="preserve">Kaiwen Lian</w:t>
      </w:r>
      <w:r>
        <w:rPr>
          <w:rFonts w:ascii="Times New Roman" w:hAnsi="Times New Roman" w:eastAsia="Times New Roman"/>
          <w:sz w:val="17"/>
          <w:vertAlign w:val="superscript"/>
        </w:rPr>
        <w:t xml:space="preserve">1†</w:t>
      </w:r>
      <w:r>
        <w:rPr>
          <w:rFonts w:ascii="Times New Roman" w:hAnsi="Times New Roman" w:eastAsia="Times New Roman"/>
          <w:sz w:val="21"/>
        </w:rPr>
        <w:t xml:space="preserve">, Meitong Han</w:t>
      </w:r>
      <w:r>
        <w:rPr>
          <w:rFonts w:ascii="Times New Roman" w:hAnsi="Times New Roman" w:eastAsia="Times New Roman"/>
          <w:sz w:val="17"/>
          <w:vertAlign w:val="superscript"/>
        </w:rPr>
        <w:t xml:space="preserve">2†</w:t>
      </w:r>
      <w:r>
        <w:rPr>
          <w:rFonts w:ascii="Times New Roman" w:hAnsi="Times New Roman" w:eastAsia="Times New Roman"/>
          <w:sz w:val="21"/>
        </w:rPr>
        <w:t xml:space="preserve">, Rui-Yuan Pan</w:t>
      </w:r>
      <w:r>
        <w:rPr>
          <w:rFonts w:ascii="Times New Roman" w:hAnsi="Times New Roman" w:eastAsia="Times New Roman"/>
          <w:sz w:val="17"/>
          <w:vertAlign w:val="superscript"/>
        </w:rPr>
        <w:t xml:space="preserve">3*</w:t>
      </w:r>
    </w:p>
    <w:p>
      <w:pPr>
        <w:pStyle w:val="BodyText"/>
        <w:spacing w:line="240" w:lineRule="auto" w:after="60"/>
        <w:jc w:val="center"/>
      </w:pPr>
      <w:r>
        <w:rPr>
          <w:rFonts w:ascii="Times New Roman" w:hAnsi="Times New Roman" w:eastAsia="Times New Roman"/>
          <w:sz w:val="21"/>
        </w:rPr>
        <w:t xml:space="preserve">† These authors contributed equally to this work.</w:t>
      </w:r>
      <w:r>
        <w:rPr>
          <w:rFonts w:ascii="Times New Roman" w:hAnsi="Times New Roman" w:eastAsia="Times New Roman"/>
          <w:sz w:val="21"/>
        </w:rPr>
        <w:t xml:space="preserve"> </w:t>
      </w:r>
      <w:r>
        <w:rPr>
          <w:iCs/>
          <w:rFonts w:ascii="Times New Roman" w:hAnsi="Times New Roman" w:eastAsia="Times New Roman"/>
          <w:i/>
          <w:sz w:val="21"/>
        </w:rPr>
        <w:t xml:space="preserve">Corresponding author:</w:t>
      </w:r>
      <w:r>
        <w:rPr>
          <w:rFonts w:ascii="Times New Roman" w:hAnsi="Times New Roman" w:eastAsia="Times New Roman"/>
          <w:sz w:val="21"/>
        </w:rPr>
        <w:t xml:space="preserve"> </w:t>
      </w:r>
      <w:r>
        <w:rPr>
          <w:rFonts w:ascii="Times New Roman" w:hAnsi="Times New Roman" w:eastAsia="Times New Roman"/>
          <w:sz w:val="21"/>
        </w:rPr>
        <w:t xml:space="preserve">Rui-Yuan Pan,</w:t>
      </w:r>
      <w:r>
        <w:rPr>
          <w:rFonts w:ascii="Times New Roman" w:hAnsi="Times New Roman" w:eastAsia="Times New Roman"/>
          <w:sz w:val="21"/>
        </w:rPr>
        <w:t xml:space="preserve"> </w:t>
      </w:r>
      <w:hyperlink r:id="rId20">
        <w:r>
          <w:rPr>
            <w:rStyle w:val="Hyperlink"/>
          </w:rPr>
          <w:t xml:space="preserve">panruiyuan@smu.edu.cn</w:t>
        </w:r>
      </w:hyperlink>
    </w:p>
    <w:bookmarkEnd w:id="21"/>
    <w:bookmarkStart w:id="22" w:name="X9d69649ba9b9ca418759908d8a820273104978c"/>
    <w:p>
      <w:pPr>
        <w:pStyle w:val="Heading2"/>
        <w:keepNext/>
        <w:spacing w:line="240" w:lineRule="auto" w:before="160" w:after="60"/>
      </w:pPr>
      <w:r>
        <w:rPr>
          <w:rFonts w:ascii="Times New Roman" w:hAnsi="Times New Roman" w:eastAsia="Times New Roman"/>
          <w:b/>
          <w:sz w:val="21"/>
        </w:rPr>
        <w:t xml:space="preserve">Table S1. Complete weighted characteristics by depressive symptom status</w:t>
      </w:r>
    </w:p>
    <w:tbl>
      <w:tblPr>
        <w:tblStyle w:val="Table"/>
        <w:tblW w:type="dxa" w:w="9360"/>
        <w:jc w:val="center"/>
        <w:tblLayout w:type="fixed"/>
        <w:tblLook w:firstRow="1" w:lastRow="0" w:firstColumn="0" w:lastColumn="0" w:noHBand="0" w:noVBand="0" w:val="002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556"/>
        <w:gridCol w:w="2246"/>
        <w:gridCol w:w="2246"/>
        <w:gridCol w:w="1310"/>
      </w:tblGrid>
      <w:tr>
        <w:trPr>
          <w:tblHeader w:val="true"/>
          <w:cantSplit w:val="true"/>
        </w:trPr>
        <w:tc>
          <w:tcPr>
            <w:tcW w:type="dxa" w:w="355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 xml:space="preserve">Variable</w:t>
            </w:r>
          </w:p>
        </w:tc>
        <w:tc>
          <w:tcPr>
            <w:tcW w:type="dxa" w:w="224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 xml:space="preserve">No depressive symptoms</w:t>
            </w:r>
          </w:p>
        </w:tc>
        <w:tc>
          <w:tcPr>
            <w:tcW w:type="dxa" w:w="224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 xml:space="preserve">Depressive symptoms</w:t>
            </w:r>
          </w:p>
        </w:tc>
        <w:tc>
          <w:tcPr>
            <w:tcW w:type="dxa" w:w="1310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iCs/>
                <w:rFonts w:ascii="Times New Roman" w:hAnsi="Times New Roman" w:eastAsia="Times New Roman"/>
                <w:b/>
                <w:i/>
                <w:sz w:val="18"/>
              </w:rPr>
              <w:t xml:space="preserve">P</w:t>
            </w:r>
            <w:r>
              <w:rPr>
                <w:rFonts w:ascii="Times New Roman" w:hAnsi="Times New Roman" w:eastAsia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18"/>
              </w:rPr>
              <w:t xml:space="preserve">value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bCs/>
                <w:rFonts w:ascii="Times New Roman" w:hAnsi="Times New Roman" w:eastAsia="Times New Roman"/>
                <w:b w:val="0"/>
                <w:sz w:val="18"/>
              </w:rPr>
              <w:t xml:space="preserve">Continuous variables, mean (SE)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Age, years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47.914 (0.241)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47.139 (0.476)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0.133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BMI, kg/m²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29.049 (0.088)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30.907 (0.237)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Family poverty-income ratio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3.115 (0.034)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2.135 (0.059)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PHQ-9 total score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2.118 (0.023)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14.077 (0.075)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lead, μg/dL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1.387 (0.019)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1.329 (0.036)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0.085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cadmium, μg/L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0.459 (0.006)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0.682 (0.022)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Serum cotinine, ng/mL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53.623 (1.610)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100.897 (5.030)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Total energy intake, kcal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2178.290 (7.798)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2064.752 (29.775)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Dietary selenium, μg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116.050 (0.617)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101.123 (1.627)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Dietary fiber, g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17.124 (0.147)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14.348 (0.283)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Dietary PUFA, g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19.599 (0.121)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17.736 (0.315)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Sleep duration, h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7.218 (0.015)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7.030 (0.084)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0.028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CRP, mg/L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3.739 (0.075)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5.594 (0.264)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WBC count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7.221 (0.028)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7.839 (0.070)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Neutrophil-to-lymphocyte ratio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2.190 (0.013)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2.293 (0.032)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Folate biomarker, nmol/L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1233.477 (10.839)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1264.025 (26.232)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0.185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Serum vitamin C, μmol/L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54.644 (0.722)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42.227 (3.369)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0.002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Serum alpha-tocopherol, μmol/L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29.432 (0.321)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26.326 (0.853)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0.002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bCs/>
                <w:rFonts w:ascii="Times New Roman" w:hAnsi="Times New Roman" w:eastAsia="Times New Roman"/>
                <w:b w:val="0"/>
                <w:sz w:val="18"/>
              </w:rPr>
              <w:t xml:space="preserve">Categorical variables, weighted 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Sex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Male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50.2%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36.0%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Female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49.8%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64.0%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Race/ethnicity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Mexican American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8.3%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7.7%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Other Hispanic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5.5%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8.0%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Non-Hispanic White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68.0%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63.6%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Non-Hispanic Black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10.8%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13.4%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Non-Hispanic Asian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3.6%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1.4%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Other race/multiracial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3.9%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5.8%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Education level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&lt;High school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14.0%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24.5%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High school/GED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23.1%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27.9%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Some college/AA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31.5%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33.3%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College or above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31.3%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14.3%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Marital status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Married/partnered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64.6%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47.8%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Widowed/divorced/separated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17.7%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30.3%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Never married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17.8%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21.9%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Smoking status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Never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56.3%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38.7%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Former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25.8%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22.4%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Current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17.9%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38.9%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Alcohol status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Never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15.1%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14.1%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Former/not current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17.4%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24.5%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Current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67.4%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61.4%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Sleep duration group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6–8 h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75.2%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55.6%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&lt;6 h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9.9%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24.8%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&gt;8 h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14.9%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19.6%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Sleep problem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No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73.7%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35.0%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Yes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26.3%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65.0%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Hypertension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No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68.3%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55.4%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Yes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31.7%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44.6%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Diabetes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No/borderline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90.5%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84.0%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Yes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9.5%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16.0%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Chronic kidney disease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No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97.6%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93.1%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  <w:tr>
        <w:trPr>
          <w:cantSplit w:val="true"/>
        </w:trPr>
        <w:tc>
          <w:tcPr>
            <w:tcW w:type="dxa" w:w="355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　Yes</w:t>
            </w:r>
          </w:p>
        </w:tc>
        <w:tc>
          <w:tcPr>
            <w:tcW w:type="dxa" w:w="224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2.4%</w:t>
            </w:r>
          </w:p>
        </w:tc>
        <w:tc>
          <w:tcPr>
            <w:tcW w:type="dxa" w:w="224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6.9%</w:t>
            </w:r>
          </w:p>
        </w:tc>
        <w:tc>
          <w:tcPr>
            <w:tcW w:type="dxa" w:w="1310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</w:p>
        </w:tc>
      </w:tr>
    </w:tbl>
    <w:p>
      <w:pPr>
        <w:pStyle w:val="BodyText"/>
        <w:spacing w:line="240" w:lineRule="auto" w:before="40" w:after="120"/>
      </w:pPr>
      <w:r>
        <w:rPr>
          <w:bCs/>
          <w:rFonts w:ascii="Times New Roman" w:hAnsi="Times New Roman" w:eastAsia="Times New Roman"/>
          <w:b/>
          <w:sz w:val="19"/>
        </w:rPr>
        <w:t xml:space="preserve">Note.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rFonts w:ascii="Times New Roman" w:hAnsi="Times New Roman" w:eastAsia="Times New Roman"/>
          <w:sz w:val="19"/>
        </w:rPr>
        <w:t xml:space="preserve">Continuous variables are presented as weighted mean (SE), and categorical variables are presented as weighted percentages.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iCs/>
          <w:rFonts w:ascii="Times New Roman" w:hAnsi="Times New Roman" w:eastAsia="Times New Roman"/>
          <w:i/>
          <w:sz w:val="19"/>
        </w:rPr>
        <w:t xml:space="preserve">P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rFonts w:ascii="Times New Roman" w:hAnsi="Times New Roman" w:eastAsia="Times New Roman"/>
          <w:sz w:val="19"/>
        </w:rPr>
        <w:t xml:space="preserve">values were obtained from survey-weighted regression models or survey-weighted chi-square tests, as appropriate. BMI, body mass index; PHQ-9, Patient Health Questionnaire-9; CRP, C-reactive protein; WBC, white blood cell; PUFA, polyunsaturated fatty acids.</w:t>
      </w:r>
    </w:p>
    <w:bookmarkEnd w:id="22"/>
    <w:bookmarkStart w:id="23" w:name="Xc0ac10b2608bbab21faafd38388d064b92ed641"/>
    <w:p>
      <w:pPr>
        <w:pStyle w:val="Heading2"/>
        <w:keepNext/>
        <w:spacing w:line="240" w:lineRule="auto" w:before="160" w:after="60"/>
      </w:pPr>
      <w:r>
        <w:rPr>
          <w:rFonts w:ascii="Times New Roman" w:hAnsi="Times New Roman" w:eastAsia="Times New Roman"/>
          <w:b/>
          <w:sz w:val="21"/>
        </w:rPr>
        <w:t xml:space="preserve">Table S2. Restricted cubic spline tests for blood metals and depressive symptoms</w:t>
      </w:r>
    </w:p>
    <w:tbl>
      <w:tblPr>
        <w:tblStyle w:val="Table"/>
        <w:tblW w:type="dxa" w:w="9360"/>
        <w:jc w:val="center"/>
        <w:tblLayout w:type="fixed"/>
        <w:tblLook w:firstRow="1" w:lastRow="0" w:firstColumn="0" w:lastColumn="0" w:noHBand="0" w:noVBand="0" w:val="002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2808"/>
        <w:gridCol w:w="1029"/>
        <w:gridCol w:w="936"/>
        <w:gridCol w:w="2246"/>
        <w:gridCol w:w="1029"/>
        <w:gridCol w:w="1310"/>
      </w:tblGrid>
      <w:tr>
        <w:trPr>
          <w:tblHeader w:val="true"/>
          <w:cantSplit w:val="true"/>
        </w:trPr>
        <w:tc>
          <w:tcPr>
            <w:tcW w:type="dxa" w:w="2808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Metal</w:t>
            </w:r>
          </w:p>
        </w:tc>
        <w:tc>
          <w:tcPr>
            <w:tcW w:type="dxa" w:w="1029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n</w:t>
            </w:r>
          </w:p>
        </w:tc>
        <w:tc>
          <w:tcPr>
            <w:tcW w:type="dxa" w:w="93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Events</w:t>
            </w:r>
          </w:p>
        </w:tc>
        <w:tc>
          <w:tcPr>
            <w:tcW w:type="dxa" w:w="224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Knots in original scale</w:t>
            </w:r>
          </w:p>
        </w:tc>
        <w:tc>
          <w:tcPr>
            <w:tcW w:type="dxa" w:w="1029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iCs/>
                <w:rFonts w:ascii="Times New Roman" w:hAnsi="Times New Roman" w:eastAsia="Times New Roman"/>
                <w:b/>
                <w:i/>
                <w:sz w:val="17"/>
              </w:rPr>
              <w:t xml:space="preserve">P</w:t>
            </w:r>
            <w:r>
              <w:rPr>
                <w:rFonts w:ascii="Times New Roman" w:hAnsi="Times New Roman" w:eastAsia="Times New Roman"/>
                <w:b/>
                <w:sz w:val="17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17"/>
              </w:rPr>
              <w:t xml:space="preserve">overall</w:t>
            </w:r>
          </w:p>
        </w:tc>
        <w:tc>
          <w:tcPr>
            <w:tcW w:type="dxa" w:w="1310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iCs/>
                <w:rFonts w:ascii="Times New Roman" w:hAnsi="Times New Roman" w:eastAsia="Times New Roman"/>
                <w:b/>
                <w:i/>
                <w:sz w:val="17"/>
              </w:rPr>
              <w:t xml:space="preserve">P</w:t>
            </w:r>
            <w:r>
              <w:rPr>
                <w:rFonts w:ascii="Times New Roman" w:hAnsi="Times New Roman" w:eastAsia="Times New Roman"/>
                <w:b/>
                <w:sz w:val="17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17"/>
              </w:rPr>
              <w:t xml:space="preserve">nonlinearity</w:t>
            </w:r>
          </w:p>
        </w:tc>
      </w:tr>
      <w:tr>
        <w:trPr>
          <w:cantSplit w:val="true"/>
        </w:trPr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27,661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2,428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0.36, 0.80, 1.36, 3.27 μg/dL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0.609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0.462</w:t>
            </w:r>
          </w:p>
        </w:tc>
      </w:tr>
      <w:tr>
        <w:trPr>
          <w:cantSplit w:val="true"/>
        </w:trPr>
        <w:tc>
          <w:tcPr>
            <w:tcW w:type="dxa" w:w="2808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029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27,661</w:t>
            </w:r>
          </w:p>
        </w:tc>
        <w:tc>
          <w:tcPr>
            <w:tcW w:type="dxa" w:w="93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2,428</w:t>
            </w:r>
          </w:p>
        </w:tc>
        <w:tc>
          <w:tcPr>
            <w:tcW w:type="dxa" w:w="224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0.11, 0.22, 0.40, 1.52 μg/L</w:t>
            </w:r>
          </w:p>
        </w:tc>
        <w:tc>
          <w:tcPr>
            <w:tcW w:type="dxa" w:w="1029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  <w:tc>
          <w:tcPr>
            <w:tcW w:type="dxa" w:w="1310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0.357</w:t>
            </w:r>
          </w:p>
        </w:tc>
      </w:tr>
    </w:tbl>
    <w:p>
      <w:pPr>
        <w:pStyle w:val="BodyText"/>
        <w:spacing w:line="240" w:lineRule="auto" w:before="40" w:after="120"/>
      </w:pPr>
      <w:r>
        <w:rPr>
          <w:bCs/>
          <w:rFonts w:ascii="Times New Roman" w:hAnsi="Times New Roman" w:eastAsia="Times New Roman"/>
          <w:b/>
          <w:sz w:val="19"/>
        </w:rPr>
        <w:t xml:space="preserve">Note.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rFonts w:ascii="Times New Roman" w:hAnsi="Times New Roman" w:eastAsia="Times New Roman"/>
          <w:sz w:val="19"/>
        </w:rPr>
        <w:t xml:space="preserve">Survey-weighted logistic regression models adjusted for age, sex, race/ethnicity, survey cycle, family poverty-income ratio, education, and marital status. Knots were placed at weighted percentiles of natural-log-transformed concentrations and are shown on the original exposure scale.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iCs/>
          <w:rFonts w:ascii="Times New Roman" w:hAnsi="Times New Roman" w:eastAsia="Times New Roman"/>
          <w:i/>
          <w:sz w:val="19"/>
        </w:rPr>
        <w:t xml:space="preserve">P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rFonts w:ascii="Times New Roman" w:hAnsi="Times New Roman" w:eastAsia="Times New Roman"/>
          <w:sz w:val="19"/>
        </w:rPr>
        <w:t xml:space="preserve">overall tests the overall association;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iCs/>
          <w:rFonts w:ascii="Times New Roman" w:hAnsi="Times New Roman" w:eastAsia="Times New Roman"/>
          <w:i/>
          <w:sz w:val="19"/>
        </w:rPr>
        <w:t xml:space="preserve">P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rFonts w:ascii="Times New Roman" w:hAnsi="Times New Roman" w:eastAsia="Times New Roman"/>
          <w:sz w:val="19"/>
        </w:rPr>
        <w:t xml:space="preserve">nonlinearity tests departure from linearity.</w:t>
      </w:r>
    </w:p>
    <w:bookmarkEnd w:id="23"/>
    <w:bookmarkStart w:id="24" w:name="X6dfbf410adf103be922b2dc29dc9845b12cf6bf"/>
    <w:p>
      <w:pPr>
        <w:pStyle w:val="Heading2"/>
        <w:keepNext/>
        <w:spacing w:line="240" w:lineRule="auto" w:before="160" w:after="60"/>
      </w:pPr>
      <w:r>
        <w:rPr>
          <w:rFonts w:ascii="Times New Roman" w:hAnsi="Times New Roman" w:eastAsia="Times New Roman"/>
          <w:b/>
          <w:sz w:val="21"/>
        </w:rPr>
        <w:t xml:space="preserve">Table S3. Sensitivity analyses using alternative PHQ-9 outcomes</w:t>
      </w:r>
    </w:p>
    <w:tbl>
      <w:tblPr>
        <w:tblStyle w:val="Table"/>
        <w:tblW w:type="dxa" w:w="9360"/>
        <w:jc w:val="center"/>
        <w:tblLayout w:type="fixed"/>
        <w:tblLook w:firstRow="1" w:lastRow="0" w:firstColumn="0" w:lastColumn="0" w:noHBand="0" w:noVBand="0" w:val="002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556"/>
        <w:gridCol w:w="2246"/>
        <w:gridCol w:w="2246"/>
        <w:gridCol w:w="1310"/>
      </w:tblGrid>
      <w:tr>
        <w:trPr>
          <w:tblHeader w:val="true"/>
          <w:cantSplit w:val="true"/>
        </w:trPr>
        <w:tc>
          <w:tcPr>
            <w:tcW w:type="dxa" w:w="355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 xml:space="preserve">Outcome</w:t>
            </w:r>
          </w:p>
        </w:tc>
        <w:tc>
          <w:tcPr>
            <w:tcW w:type="dxa" w:w="224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 xml:space="preserve">Exposure</w:t>
            </w:r>
          </w:p>
        </w:tc>
        <w:tc>
          <w:tcPr>
            <w:tcW w:type="dxa" w:w="224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 xml:space="preserve">Estimate (95% CI)</w:t>
            </w:r>
          </w:p>
        </w:tc>
        <w:tc>
          <w:tcPr>
            <w:tcW w:type="dxa" w:w="1310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iCs/>
                <w:rFonts w:ascii="Times New Roman" w:hAnsi="Times New Roman" w:eastAsia="Times New Roman"/>
                <w:b/>
                <w:i/>
                <w:sz w:val="18"/>
              </w:rPr>
              <w:t xml:space="preserve">P</w:t>
            </w:r>
            <w:r>
              <w:rPr>
                <w:rFonts w:ascii="Times New Roman" w:hAnsi="Times New Roman" w:eastAsia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18"/>
              </w:rPr>
              <w:t xml:space="preserve">value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Continuous PHQ-9 score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lead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β = 0.006 (-0.080, 0.092)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0.886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Continuous PHQ-9 score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cadmium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β = 0.337 (0.265, 0.409)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355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PHQ-9 ≥15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lead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OR = 1.034 (0.905, 1.181)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0.623</w:t>
            </w:r>
          </w:p>
        </w:tc>
      </w:tr>
      <w:tr>
        <w:trPr>
          <w:cantSplit w:val="true"/>
        </w:trPr>
        <w:tc>
          <w:tcPr>
            <w:tcW w:type="dxa" w:w="355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PHQ-9 ≥15</w:t>
            </w:r>
          </w:p>
        </w:tc>
        <w:tc>
          <w:tcPr>
            <w:tcW w:type="dxa" w:w="224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cadmium</w:t>
            </w:r>
          </w:p>
        </w:tc>
        <w:tc>
          <w:tcPr>
            <w:tcW w:type="dxa" w:w="224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OR = 1.195 (1.096, 1.303)</w:t>
            </w:r>
          </w:p>
        </w:tc>
        <w:tc>
          <w:tcPr>
            <w:tcW w:type="dxa" w:w="1310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&lt;0.001</w:t>
            </w:r>
          </w:p>
        </w:tc>
      </w:tr>
    </w:tbl>
    <w:p>
      <w:pPr>
        <w:pStyle w:val="BodyText"/>
        <w:spacing w:line="240" w:lineRule="auto" w:before="40" w:after="120"/>
      </w:pPr>
      <w:r>
        <w:rPr>
          <w:bCs/>
          <w:rFonts w:ascii="Times New Roman" w:hAnsi="Times New Roman" w:eastAsia="Times New Roman"/>
          <w:b/>
          <w:sz w:val="19"/>
        </w:rPr>
        <w:t xml:space="preserve">Note.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rFonts w:ascii="Times New Roman" w:hAnsi="Times New Roman" w:eastAsia="Times New Roman"/>
          <w:sz w:val="19"/>
        </w:rPr>
        <w:t xml:space="preserve">Models adjusted for age, sex, race/ethnicity, survey cycle, family poverty-income ratio, education, and marital status. Blood metals were natural-log transformed and standardized. CI, confidence interval; OR, odds ratio; PHQ-9, Patient Health Questionnaire-9.</w:t>
      </w:r>
    </w:p>
    <w:bookmarkEnd w:id="24"/>
    <w:bookmarkStart w:id="25" w:name="Xc3a55f3c8749052fe0f69e183dc48a37e6fba60"/>
    <w:p>
      <w:pPr>
        <w:pStyle w:val="Heading2"/>
        <w:keepNext/>
        <w:spacing w:line="240" w:lineRule="auto" w:before="160" w:after="60"/>
      </w:pPr>
      <w:r>
        <w:rPr>
          <w:rFonts w:ascii="Times New Roman" w:hAnsi="Times New Roman" w:eastAsia="Times New Roman"/>
          <w:b/>
          <w:sz w:val="21"/>
        </w:rPr>
        <w:t xml:space="preserve">Table S4. Exploratory indirect pathways for blood lead and depressive symptoms</w:t>
      </w:r>
    </w:p>
    <w:tbl>
      <w:tblPr>
        <w:tblStyle w:val="Table"/>
        <w:tblW w:type="dxa" w:w="9360"/>
        <w:jc w:val="center"/>
        <w:tblLayout w:type="fixed"/>
        <w:tblLook w:firstRow="1" w:lastRow="0" w:firstColumn="0" w:lastColumn="0" w:noHBand="0" w:noVBand="0" w:val="002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2808"/>
        <w:gridCol w:w="1029"/>
        <w:gridCol w:w="936"/>
        <w:gridCol w:w="2246"/>
        <w:gridCol w:w="1029"/>
        <w:gridCol w:w="1310"/>
      </w:tblGrid>
      <w:tr>
        <w:trPr>
          <w:tblHeader w:val="true"/>
          <w:cantSplit w:val="true"/>
        </w:trPr>
        <w:tc>
          <w:tcPr>
            <w:tcW w:type="dxa" w:w="2808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Mediator</w:t>
            </w:r>
          </w:p>
        </w:tc>
        <w:tc>
          <w:tcPr>
            <w:tcW w:type="dxa" w:w="1029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n</w:t>
            </w:r>
          </w:p>
        </w:tc>
        <w:tc>
          <w:tcPr>
            <w:tcW w:type="dxa" w:w="93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Events</w:t>
            </w:r>
          </w:p>
        </w:tc>
        <w:tc>
          <w:tcPr>
            <w:tcW w:type="dxa" w:w="224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Indirect OR (95% CI)</w:t>
            </w:r>
          </w:p>
        </w:tc>
        <w:tc>
          <w:tcPr>
            <w:tcW w:type="dxa" w:w="1029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FDR-adjusted</w:t>
            </w:r>
            <w:r>
              <w:rPr>
                <w:rFonts w:ascii="Times New Roman" w:hAnsi="Times New Roman" w:eastAsia="Times New Roman"/>
                <w:b/>
                <w:sz w:val="17"/>
              </w:rPr>
              <w:t xml:space="preserve"> </w:t>
            </w:r>
            <w:r>
              <w:rPr>
                <w:iCs/>
                <w:rFonts w:ascii="Times New Roman" w:hAnsi="Times New Roman" w:eastAsia="Times New Roman"/>
                <w:b/>
                <w:i/>
                <w:sz w:val="17"/>
              </w:rPr>
              <w:t xml:space="preserve">q</w:t>
            </w:r>
          </w:p>
        </w:tc>
        <w:tc>
          <w:tcPr>
            <w:tcW w:type="dxa" w:w="1310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Proportion mediated</w:t>
            </w:r>
          </w:p>
        </w:tc>
      </w:tr>
      <w:tr>
        <w:trPr>
          <w:cantSplit w:val="true"/>
        </w:trPr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CRP / hs-CRP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21,039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1,814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0.976 (0.964, 0.985)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-251.6%</w:t>
            </w:r>
          </w:p>
        </w:tc>
      </w:tr>
      <w:tr>
        <w:trPr>
          <w:cantSplit w:val="true"/>
        </w:trPr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Dietary selenium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23,741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2,136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1.008 (1.004, 1.014)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62.1%</w:t>
            </w:r>
          </w:p>
        </w:tc>
      </w:tr>
      <w:tr>
        <w:trPr>
          <w:cantSplit w:val="true"/>
        </w:trPr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Dietary fiber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23,741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2,136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1.007 (1.004, 1.011)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54.5%</w:t>
            </w:r>
          </w:p>
        </w:tc>
      </w:tr>
      <w:tr>
        <w:trPr>
          <w:cantSplit w:val="true"/>
        </w:trPr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Dietary PUFA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23,741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2,136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1.007 (1.003, 1.011)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52.6%</w:t>
            </w:r>
          </w:p>
        </w:tc>
      </w:tr>
      <w:tr>
        <w:trPr>
          <w:cantSplit w:val="true"/>
        </w:trPr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Dietary protein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23,741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2,136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1.007 (1.003, 1.013)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54.0%</w:t>
            </w:r>
          </w:p>
        </w:tc>
      </w:tr>
      <w:tr>
        <w:trPr>
          <w:cantSplit w:val="true"/>
        </w:trPr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Systemic immune-inflammation index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27,569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2,415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0.996 (0.992, 0.999)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0.012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-62.3%</w:t>
            </w:r>
          </w:p>
        </w:tc>
      </w:tr>
      <w:tr>
        <w:trPr>
          <w:cantSplit w:val="true"/>
        </w:trPr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Systemic inflammation response index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27,569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2,415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0.997 (0.994, 0.999)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0.014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-51.7%</w:t>
            </w:r>
          </w:p>
        </w:tc>
      </w:tr>
      <w:tr>
        <w:trPr>
          <w:cantSplit w:val="true"/>
        </w:trPr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Dietary total fat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23,741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2,136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1.004 (1.001, 1.007)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0.015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28.2%</w:t>
            </w:r>
          </w:p>
        </w:tc>
      </w:tr>
      <w:tr>
        <w:trPr>
          <w:cantSplit w:val="true"/>
        </w:trPr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Neutrophil-to-lymphocyte ratio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27,569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2,415</w:t>
            </w:r>
          </w:p>
        </w:tc>
        <w:tc>
          <w:tcPr>
            <w:tcW w:type="dxa" w:w="224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0.997 (0.994, 1.000)</w:t>
            </w:r>
          </w:p>
        </w:tc>
        <w:tc>
          <w:tcPr>
            <w:tcW w:type="dxa" w:w="102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0.036</w:t>
            </w:r>
          </w:p>
        </w:tc>
        <w:tc>
          <w:tcPr>
            <w:tcW w:type="dxa" w:w="131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-42.2%</w:t>
            </w:r>
          </w:p>
        </w:tc>
      </w:tr>
      <w:tr>
        <w:trPr>
          <w:cantSplit w:val="true"/>
        </w:trPr>
        <w:tc>
          <w:tcPr>
            <w:tcW w:type="dxa" w:w="2808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Serum vitamin C</w:t>
            </w:r>
          </w:p>
        </w:tc>
        <w:tc>
          <w:tcPr>
            <w:tcW w:type="dxa" w:w="1029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3,627</w:t>
            </w:r>
          </w:p>
        </w:tc>
        <w:tc>
          <w:tcPr>
            <w:tcW w:type="dxa" w:w="93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228</w:t>
            </w:r>
          </w:p>
        </w:tc>
        <w:tc>
          <w:tcPr>
            <w:tcW w:type="dxa" w:w="224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1.026 (1.002, 1.057)</w:t>
            </w:r>
          </w:p>
        </w:tc>
        <w:tc>
          <w:tcPr>
            <w:tcW w:type="dxa" w:w="1029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0.044</w:t>
            </w:r>
          </w:p>
        </w:tc>
        <w:tc>
          <w:tcPr>
            <w:tcW w:type="dxa" w:w="1310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50.0%</w:t>
            </w:r>
          </w:p>
        </w:tc>
      </w:tr>
    </w:tbl>
    <w:p>
      <w:pPr>
        <w:pStyle w:val="BodyText"/>
        <w:spacing w:line="240" w:lineRule="auto" w:before="40" w:after="120"/>
      </w:pPr>
      <w:r>
        <w:rPr>
          <w:bCs/>
          <w:rFonts w:ascii="Times New Roman" w:hAnsi="Times New Roman" w:eastAsia="Times New Roman"/>
          <w:b/>
          <w:sz w:val="19"/>
        </w:rPr>
        <w:t xml:space="preserve">Note.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rFonts w:ascii="Times New Roman" w:hAnsi="Times New Roman" w:eastAsia="Times New Roman"/>
          <w:sz w:val="19"/>
        </w:rPr>
        <w:t xml:space="preserve">Models adjusted for age, sex, race/ethnicity, survey cycle, family poverty-income ratio, education, and marital status. Negative or very large proportions indicate unstable decomposition and should not be interpreted quantitatively. These cross-sectional estimates do not establish causal mediation. CRP, C-reactive protein; FDR, false discovery rate; PUFA, polyunsaturated fatty acid.</w:t>
      </w:r>
    </w:p>
    <w:bookmarkEnd w:id="25"/>
    <w:bookmarkStart w:id="26" w:name="X07fd2ee18846862639537d521684c22547c36df"/>
    <w:p>
      <w:pPr>
        <w:pStyle w:val="Heading2"/>
        <w:keepNext/>
        <w:spacing w:line="240" w:lineRule="auto" w:before="160" w:after="60"/>
      </w:pPr>
      <w:r>
        <w:rPr>
          <w:rFonts w:ascii="Times New Roman" w:hAnsi="Times New Roman" w:eastAsia="Times New Roman"/>
          <w:b/>
          <w:sz w:val="21"/>
        </w:rPr>
        <w:t xml:space="preserve">Table S5. Subgroup associations of blood metals with depressive symptoms</w:t>
      </w:r>
    </w:p>
    <w:tbl>
      <w:tblPr>
        <w:tblStyle w:val="Table"/>
        <w:tblW w:type="dxa" w:w="9360"/>
        <w:jc w:val="center"/>
        <w:tblLayout w:type="fixed"/>
        <w:tblLook w:firstRow="1" w:lastRow="0" w:firstColumn="0" w:lastColumn="0" w:noHBand="0" w:noVBand="0" w:val="002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497"/>
        <w:gridCol w:w="1123"/>
        <w:gridCol w:w="1404"/>
        <w:gridCol w:w="1123"/>
        <w:gridCol w:w="936"/>
        <w:gridCol w:w="2059"/>
        <w:gridCol w:w="1216"/>
      </w:tblGrid>
      <w:tr>
        <w:trPr>
          <w:tblHeader w:val="true"/>
          <w:cantSplit w:val="true"/>
        </w:trPr>
        <w:tc>
          <w:tcPr>
            <w:tcW w:type="dxa" w:w="1497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Subgroup</w:t>
            </w:r>
          </w:p>
        </w:tc>
        <w:tc>
          <w:tcPr>
            <w:tcW w:type="dxa" w:w="1123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Level</w:t>
            </w:r>
          </w:p>
        </w:tc>
        <w:tc>
          <w:tcPr>
            <w:tcW w:type="dxa" w:w="1404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Exposure</w:t>
            </w:r>
          </w:p>
        </w:tc>
        <w:tc>
          <w:tcPr>
            <w:tcW w:type="dxa" w:w="1123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n</w:t>
            </w:r>
          </w:p>
        </w:tc>
        <w:tc>
          <w:tcPr>
            <w:tcW w:type="dxa" w:w="93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Events</w:t>
            </w:r>
          </w:p>
        </w:tc>
        <w:tc>
          <w:tcPr>
            <w:tcW w:type="dxa" w:w="2059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 xml:space="preserve">OR (95% CI)</w:t>
            </w:r>
          </w:p>
        </w:tc>
        <w:tc>
          <w:tcPr>
            <w:tcW w:type="dxa" w:w="1216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iCs/>
                <w:rFonts w:ascii="Times New Roman" w:hAnsi="Times New Roman" w:eastAsia="Times New Roman"/>
                <w:b/>
                <w:i/>
                <w:sz w:val="17"/>
              </w:rPr>
              <w:t xml:space="preserve">P</w:t>
            </w:r>
            <w:r>
              <w:rPr>
                <w:rFonts w:ascii="Times New Roman" w:hAnsi="Times New Roman" w:eastAsia="Times New Roman"/>
                <w:b/>
                <w:sz w:val="17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17"/>
              </w:rPr>
              <w:t xml:space="preserve">value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Sex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Male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13,847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906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0.880 (0.785, 0.986)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0.030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Sex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Female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13,814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1,522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1.126 (1.011, 1.255)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0.033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Sex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Male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13,847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906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1.201 (1.097, 1.314)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Sex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Female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13,814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1,522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1.292 (1.196, 1.397)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Age group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20–59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18,178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1,750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0.995 (0.907, 1.091)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0.917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Age group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≥60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9,483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678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0.881 (0.746, 1.040)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0.139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Age group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20–59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18,178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1,750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1.270 (1.196, 1.348)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Age group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≥60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9,483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678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0.971 (0.823, 1.146)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0.728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Smoking status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Never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13,059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875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0.962 (0.861, 1.074)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0.488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Smoking status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Former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5,968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475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0.773 (0.656, 0.911)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0.003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Smoking status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Current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4,930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787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0.961 (0.817, 1.132)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0.638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Smoking status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Never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13,059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875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0.955 (0.812, 1.122)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0.574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Smoking status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Former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5,968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475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0.886 (0.701, 1.118)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0.310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Smoking status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Current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4,930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787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1.163 (1.032, 1.311)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0.015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BMI group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&lt;25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7,082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521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1.128 (0.985, 1.293)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0.085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BMI group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25–&lt;30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8,476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593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1.113 (0.962, 1.288)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0.153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BMI group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≥30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10,022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1,113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0.989 (0.877, 1.115)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0.855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BMI group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&lt;25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7,082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521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1.457 (1.318, 1.612)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BMI group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25–&lt;30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8,476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593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1.291 (1.136, 1.468)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BMI group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≥30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10,022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1,113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1.200 (1.093, 1.318)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Sleep duration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6–8 h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19,842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1,326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0.971 (0.875, 1.078)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0.586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Sleep duration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&lt;6 h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3,863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695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1.045 (0.903, 1.209)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0.554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Sleep duration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&gt;8 h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lead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3,899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393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1.020 (0.862, 1.206)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0.821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Sleep duration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6–8 h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19,842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1,326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1.253 (1.168, 1.343)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&lt;0.001</w:t>
            </w:r>
          </w:p>
        </w:tc>
      </w:tr>
      <w:tr>
        <w:trPr>
          <w:cantSplit w:val="true"/>
        </w:trPr>
        <w:tc>
          <w:tcPr>
            <w:tcW w:type="dxa" w:w="1497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Sleep duration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&lt;6 h</w:t>
            </w:r>
          </w:p>
        </w:tc>
        <w:tc>
          <w:tcPr>
            <w:tcW w:type="dxa" w:w="1404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3,863</w:t>
            </w:r>
          </w:p>
        </w:tc>
        <w:tc>
          <w:tcPr>
            <w:tcW w:type="dxa" w:w="93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695</w:t>
            </w:r>
          </w:p>
        </w:tc>
        <w:tc>
          <w:tcPr>
            <w:tcW w:type="dxa" w:w="2059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1.147 (1.031, 1.276)</w:t>
            </w:r>
          </w:p>
        </w:tc>
        <w:tc>
          <w:tcPr>
            <w:tcW w:type="dxa" w:w="1216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0.014</w:t>
            </w:r>
          </w:p>
        </w:tc>
      </w:tr>
      <w:tr>
        <w:trPr>
          <w:cantSplit w:val="true"/>
        </w:trPr>
        <w:tc>
          <w:tcPr>
            <w:tcW w:type="dxa" w:w="1497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Sleep duration</w:t>
            </w:r>
          </w:p>
        </w:tc>
        <w:tc>
          <w:tcPr>
            <w:tcW w:type="dxa" w:w="1123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&gt;8 h</w:t>
            </w:r>
          </w:p>
        </w:tc>
        <w:tc>
          <w:tcPr>
            <w:tcW w:type="dxa" w:w="1404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Blood cadmium</w:t>
            </w:r>
          </w:p>
        </w:tc>
        <w:tc>
          <w:tcPr>
            <w:tcW w:type="dxa" w:w="1123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3,899</w:t>
            </w:r>
          </w:p>
        </w:tc>
        <w:tc>
          <w:tcPr>
            <w:tcW w:type="dxa" w:w="93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393</w:t>
            </w:r>
          </w:p>
        </w:tc>
        <w:tc>
          <w:tcPr>
            <w:tcW w:type="dxa" w:w="2059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1.289 (1.103, 1.505)</w:t>
            </w:r>
          </w:p>
        </w:tc>
        <w:tc>
          <w:tcPr>
            <w:tcW w:type="dxa" w:w="1216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0.002</w:t>
            </w:r>
          </w:p>
        </w:tc>
      </w:tr>
    </w:tbl>
    <w:p>
      <w:pPr>
        <w:pStyle w:val="BodyText"/>
        <w:spacing w:line="240" w:lineRule="auto" w:before="40" w:after="120"/>
      </w:pPr>
      <w:r>
        <w:rPr>
          <w:bCs/>
          <w:rFonts w:ascii="Times New Roman" w:hAnsi="Times New Roman" w:eastAsia="Times New Roman"/>
          <w:b/>
          <w:sz w:val="19"/>
        </w:rPr>
        <w:t xml:space="preserve">Note.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rFonts w:ascii="Times New Roman" w:hAnsi="Times New Roman" w:eastAsia="Times New Roman"/>
          <w:sz w:val="19"/>
        </w:rPr>
        <w:t xml:space="preserve">Subgroup models used the demographic and socioeconomic adjustment model. Blood metals were natural-log transformed and standardized. ORs are expressed per 1-SD increase in ln-transformed blood metal concentration.</w:t>
      </w:r>
    </w:p>
    <w:bookmarkEnd w:id="26"/>
    <w:bookmarkStart w:id="27" w:name="X05e543400f32af3b1710e0cadb95ee6ba987d7b"/>
    <w:p>
      <w:pPr>
        <w:pStyle w:val="Heading2"/>
        <w:keepNext/>
        <w:spacing w:line="240" w:lineRule="auto" w:before="160" w:after="60"/>
      </w:pPr>
      <w:r>
        <w:rPr>
          <w:rFonts w:ascii="Times New Roman" w:hAnsi="Times New Roman" w:eastAsia="Times New Roman"/>
          <w:b/>
          <w:sz w:val="21"/>
        </w:rPr>
        <w:t xml:space="preserve">Table S6. Interaction tests for subgroup analyses</w:t>
      </w:r>
    </w:p>
    <w:tbl>
      <w:tblPr>
        <w:tblStyle w:val="Table"/>
        <w:tblW w:type="dxa" w:w="9360"/>
        <w:jc w:val="center"/>
        <w:tblLayout w:type="fixed"/>
        <w:tblLook w:firstRow="1" w:lastRow="0" w:firstColumn="0" w:lastColumn="0" w:noHBand="0" w:noVBand="0" w:val="002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2901"/>
        <w:gridCol w:w="3650"/>
        <w:gridCol w:w="2808"/>
      </w:tblGrid>
      <w:tr>
        <w:trPr>
          <w:tblHeader w:val="true"/>
          <w:cantSplit w:val="true"/>
        </w:trPr>
        <w:tc>
          <w:tcPr>
            <w:tcW w:type="dxa" w:w="2901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 xml:space="preserve">Subgroup variable</w:t>
            </w:r>
          </w:p>
        </w:tc>
        <w:tc>
          <w:tcPr>
            <w:tcW w:type="dxa" w:w="3650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 xml:space="preserve">Exposure</w:t>
            </w:r>
          </w:p>
        </w:tc>
        <w:tc>
          <w:tcPr>
            <w:tcW w:type="dxa" w:w="2808"/>
            <w:tcBorders>
              <w:top w:val="single" w:sz="10" w:space="0" w:color="000000"/>
              <w:bottom w:val="single" w:sz="8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iCs/>
                <w:rFonts w:ascii="Times New Roman" w:hAnsi="Times New Roman" w:eastAsia="Times New Roman"/>
                <w:b/>
                <w:i/>
                <w:sz w:val="18"/>
              </w:rPr>
              <w:t xml:space="preserve">P</w:t>
            </w:r>
            <w:r>
              <w:rPr>
                <w:rFonts w:ascii="Times New Roman" w:hAnsi="Times New Roman" w:eastAsia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18"/>
              </w:rPr>
              <w:t xml:space="preserve">for interaction</w:t>
            </w:r>
          </w:p>
        </w:tc>
      </w:tr>
      <w:tr>
        <w:trPr>
          <w:cantSplit w:val="true"/>
        </w:trPr>
        <w:tc>
          <w:tcPr>
            <w:tcW w:type="dxa" w:w="2901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Sex</w:t>
            </w:r>
          </w:p>
        </w:tc>
        <w:tc>
          <w:tcPr>
            <w:tcW w:type="dxa" w:w="365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lead</w:t>
            </w:r>
          </w:p>
        </w:tc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0.079</w:t>
            </w:r>
          </w:p>
        </w:tc>
      </w:tr>
      <w:tr>
        <w:trPr>
          <w:cantSplit w:val="true"/>
        </w:trPr>
        <w:tc>
          <w:tcPr>
            <w:tcW w:type="dxa" w:w="2901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Sex</w:t>
            </w:r>
          </w:p>
        </w:tc>
        <w:tc>
          <w:tcPr>
            <w:tcW w:type="dxa" w:w="365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cadmium</w:t>
            </w:r>
          </w:p>
        </w:tc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0.431</w:t>
            </w:r>
          </w:p>
        </w:tc>
      </w:tr>
      <w:tr>
        <w:trPr>
          <w:cantSplit w:val="true"/>
        </w:trPr>
        <w:tc>
          <w:tcPr>
            <w:tcW w:type="dxa" w:w="2901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Age group</w:t>
            </w:r>
          </w:p>
        </w:tc>
        <w:tc>
          <w:tcPr>
            <w:tcW w:type="dxa" w:w="365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lead</w:t>
            </w:r>
          </w:p>
        </w:tc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0.049</w:t>
            </w:r>
          </w:p>
        </w:tc>
      </w:tr>
      <w:tr>
        <w:trPr>
          <w:cantSplit w:val="true"/>
        </w:trPr>
        <w:tc>
          <w:tcPr>
            <w:tcW w:type="dxa" w:w="2901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Age group</w:t>
            </w:r>
          </w:p>
        </w:tc>
        <w:tc>
          <w:tcPr>
            <w:tcW w:type="dxa" w:w="365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cadmium</w:t>
            </w:r>
          </w:p>
        </w:tc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0.003</w:t>
            </w:r>
          </w:p>
        </w:tc>
      </w:tr>
      <w:tr>
        <w:trPr>
          <w:cantSplit w:val="true"/>
        </w:trPr>
        <w:tc>
          <w:tcPr>
            <w:tcW w:type="dxa" w:w="2901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Smoking status</w:t>
            </w:r>
          </w:p>
        </w:tc>
        <w:tc>
          <w:tcPr>
            <w:tcW w:type="dxa" w:w="365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lead</w:t>
            </w:r>
          </w:p>
        </w:tc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0.006</w:t>
            </w:r>
          </w:p>
        </w:tc>
      </w:tr>
      <w:tr>
        <w:trPr>
          <w:cantSplit w:val="true"/>
        </w:trPr>
        <w:tc>
          <w:tcPr>
            <w:tcW w:type="dxa" w:w="2901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Smoking status</w:t>
            </w:r>
          </w:p>
        </w:tc>
        <w:tc>
          <w:tcPr>
            <w:tcW w:type="dxa" w:w="365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cadmium</w:t>
            </w:r>
          </w:p>
        </w:tc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0.080</w:t>
            </w:r>
          </w:p>
        </w:tc>
      </w:tr>
      <w:tr>
        <w:trPr>
          <w:cantSplit w:val="true"/>
        </w:trPr>
        <w:tc>
          <w:tcPr>
            <w:tcW w:type="dxa" w:w="2901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BMI group</w:t>
            </w:r>
          </w:p>
        </w:tc>
        <w:tc>
          <w:tcPr>
            <w:tcW w:type="dxa" w:w="365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lead</w:t>
            </w:r>
          </w:p>
        </w:tc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0.106</w:t>
            </w:r>
          </w:p>
        </w:tc>
      </w:tr>
      <w:tr>
        <w:trPr>
          <w:cantSplit w:val="true"/>
        </w:trPr>
        <w:tc>
          <w:tcPr>
            <w:tcW w:type="dxa" w:w="2901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BMI group</w:t>
            </w:r>
          </w:p>
        </w:tc>
        <w:tc>
          <w:tcPr>
            <w:tcW w:type="dxa" w:w="365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cadmium</w:t>
            </w:r>
          </w:p>
        </w:tc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0.035</w:t>
            </w:r>
          </w:p>
        </w:tc>
      </w:tr>
      <w:tr>
        <w:trPr>
          <w:cantSplit w:val="true"/>
        </w:trPr>
        <w:tc>
          <w:tcPr>
            <w:tcW w:type="dxa" w:w="2901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Sleep duration group</w:t>
            </w:r>
          </w:p>
        </w:tc>
        <w:tc>
          <w:tcPr>
            <w:tcW w:type="dxa" w:w="3650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lead</w:t>
            </w:r>
          </w:p>
        </w:tc>
        <w:tc>
          <w:tcPr>
            <w:tcW w:type="dxa" w:w="2808"/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0.265</w:t>
            </w:r>
          </w:p>
        </w:tc>
      </w:tr>
      <w:tr>
        <w:trPr>
          <w:cantSplit w:val="true"/>
        </w:trPr>
        <w:tc>
          <w:tcPr>
            <w:tcW w:type="dxa" w:w="2901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Sleep duration group</w:t>
            </w:r>
          </w:p>
        </w:tc>
        <w:tc>
          <w:tcPr>
            <w:tcW w:type="dxa" w:w="3650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Blood cadmium</w:t>
            </w:r>
          </w:p>
        </w:tc>
        <w:tc>
          <w:tcPr>
            <w:tcW w:type="dxa" w:w="2808"/>
            <w:tcBorders>
              <w:bottom w:val="single" w:sz="10" w:space="0" w:color="000000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pPr>
              <w:pStyle w:val="Compact"/>
              <w:spacing w:line="240" w:lineRule="auto"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0.598</w:t>
            </w:r>
          </w:p>
        </w:tc>
      </w:tr>
    </w:tbl>
    <w:p>
      <w:pPr>
        <w:pStyle w:val="BodyText"/>
        <w:spacing w:line="240" w:lineRule="auto" w:before="40" w:after="120"/>
      </w:pPr>
      <w:r>
        <w:rPr>
          <w:bCs/>
          <w:rFonts w:ascii="Times New Roman" w:hAnsi="Times New Roman" w:eastAsia="Times New Roman"/>
          <w:b/>
          <w:sz w:val="19"/>
        </w:rPr>
        <w:t xml:space="preserve">Note.</w:t>
      </w:r>
      <w:r>
        <w:rPr>
          <w:rFonts w:ascii="Times New Roman" w:hAnsi="Times New Roman" w:eastAsia="Times New Roman"/>
          <w:sz w:val="19"/>
        </w:rPr>
        <w:t xml:space="preserve"> </w:t>
      </w:r>
      <w:r>
        <w:rPr>
          <w:rFonts w:ascii="Times New Roman" w:hAnsi="Times New Roman" w:eastAsia="Times New Roman"/>
          <w:sz w:val="19"/>
        </w:rPr>
        <w:t xml:space="preserve">Interaction terms were tested using survey-weighted logistic regression models under the demographic and socioeconomic adjustment model.</w:t>
      </w:r>
    </w:p>
    <w:bookmarkEnd w:id="27"/>
    <w:bookmarkEnd w:id="28"/>
    <w:sectPr>
      <w:footerReference w:type="default" r:id="rId9"/>
      <w:pgMar w:top="1440" w:bottom="1440" w:left="1440" w:right="1440" w:header="648" w:footer="648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  <w:suppressLineNumbers/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line="480" w:lineRule="auto" w:before="0" w:after="0"/>
    </w:pPr>
    <w:rPr>
      <w:rFonts w:ascii="Times New Roman" w:hAnsi="Times New Roman" w:eastAsia="Times New Roman"/>
      <w:sz w:val="24"/>
    </w:r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20" w:before="240" w:line="240" w:lineRule="auto"/>
      <w:outlineLvl w:val="0"/>
    </w:pPr>
    <w:rPr>
      <w:rFonts w:asciiTheme="majorHAnsi" w:cstheme="majorBidi" w:eastAsiaTheme="majorEastAsia" w:hAnsiTheme="majorHAnsi" w:ascii="Times New Roman" w:hAnsi="Times New Roman" w:eastAsia="Times New Roman"/>
      <w:b/>
      <w:bCs/>
      <w:color w:val="000000"/>
      <w:sz w:val="28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80" w:before="200" w:line="240" w:lineRule="auto"/>
      <w:outlineLvl w:val="1"/>
    </w:pPr>
    <w:rPr>
      <w:rFonts w:asciiTheme="majorHAnsi" w:cstheme="majorBidi" w:eastAsiaTheme="majorEastAsia" w:hAnsiTheme="majorHAnsi" w:ascii="Times New Roman" w:hAnsi="Times New Roman" w:eastAsia="Times New Roman"/>
      <w:b/>
      <w:bCs/>
      <w:color w:val="000000"/>
      <w:sz w:val="24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60" w:before="160" w:line="240" w:lineRule="auto"/>
      <w:outlineLvl w:val="2"/>
    </w:pPr>
    <w:rPr>
      <w:rFonts w:asciiTheme="majorHAnsi" w:cstheme="majorBidi" w:eastAsiaTheme="majorEastAsia" w:hAnsiTheme="majorHAnsi" w:ascii="Times New Roman" w:hAnsi="Times New Roman" w:eastAsia="Times New Roman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20" Type="http://schemas.openxmlformats.org/officeDocument/2006/relationships/hyperlink" Target="mailto:panruiyuan@smu.edu.cn" TargetMode="External"/><Relationship Id="rId9" Type="http://schemas.openxmlformats.org/officeDocument/2006/relationships/footer" Target="footer1.xml"/></Relationships>
</file>

<file path=word/_rels/footnotes.xml.rels><?xml version='1.0' encoding='UTF-8' standalone='yes'?>
<Relationships xmlns="http://schemas.openxmlformats.org/package/2006/relationships"><Relationship Id="rId20" Type="http://schemas.openxmlformats.org/officeDocument/2006/relationships/hyperlink" Target="mailto:panruiyuan@sm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1: Blood cadmium, smoking-related factors, and depressive symptoms among U.S. adults: a cross-sectional analysis of NHANES 2005–2020</dc:title>
  <dc:creator>Kaiwen Lian; Meitong Han; Rui-Yuan Pan</dc:creator>
  <cp:keywords>blood cadmium; depressive symptoms; tobacco exposure; NHANES</cp:keywords>
  <dcterms:created xsi:type="dcterms:W3CDTF">2026-07-24T05:31:09Z</dcterms:created>
  <dcterms:modified xsi:type="dcterms:W3CDTF">2026-07-24T05:31:09Z</dcterms:modified>
  <dc:subject>Supplementary information prepared for BMC Public Health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